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rPr>
          <w:rFonts w:ascii="Calibri" w:cs="Calibri" w:eastAsia="Calibri" w:hAnsi="Calibri"/>
          <w:b/>
          <w:bCs/>
          <w:sz w:val="52"/>
          <w:szCs w:val="52"/>
        </w:rPr>
        <w:t xml:space="preserve">Password and Authentication Policy</w:t>
      </w:r>
    </w:p>
    <w:p>
      <w:pPr>
        <w:spacing w:after="240"/>
      </w:pPr>
      <w:r>
        <w:rPr>
          <w:rFonts w:ascii="Calibri" w:cs="Calibri" w:eastAsia="Calibri" w:hAnsi="Calibri"/>
          <w:color w:val="666666"/>
          <w:sz w:val="20"/>
          <w:szCs w:val="20"/>
        </w:rPr>
        <w:t xml:space="preserve">Australia edition · editable template · SecurityPolicy.com.au</w:t>
      </w:r>
    </w:p>
    <w:p>
      <w:pPr>
        <w:spacing w:after="240"/>
      </w:pPr>
      <w:r>
        <w:rPr>
          <w:rFonts w:ascii="Calibri" w:cs="Calibri" w:eastAsia="Calibri" w:hAnsi="Calibri"/>
          <w:sz w:val="22"/>
          <w:szCs w:val="22"/>
        </w:rPr>
        <w:t xml:space="preserve">This policy is adopted by </w:t>
      </w:r>
      <w:r>
        <w:rPr>
          <w:rFonts w:ascii="Calibri" w:cs="Calibri" w:eastAsia="Calibri" w:hAnsi="Calibri"/>
          <w:sz w:val="22"/>
          <w:szCs w:val="22"/>
          <w:highlight w:val="yellow"/>
          <w:highlightCs w:val="yellow"/>
        </w:rPr>
        <w:t xml:space="preserve">[organisation name]</w:t>
      </w:r>
      <w:r>
        <w:rPr>
          <w:rFonts w:ascii="Calibri" w:cs="Calibri" w:eastAsia="Calibri" w:hAnsi="Calibri"/>
          <w:sz w:val="22"/>
          <w:szCs w:val="22"/>
        </w:rPr>
        <w:t xml:space="preserve"> ("we", "us", "our").</w:t>
      </w:r>
    </w:p>
    <w:p>
      <w:pPr>
        <w:pStyle w:val="Heading1"/>
      </w:pPr>
      <w:r>
        <w:rPr>
          <w:rFonts w:ascii="Calibri" w:cs="Calibri" w:eastAsia="Calibri" w:hAnsi="Calibri"/>
          <w:b/>
          <w:bCs/>
          <w:sz w:val="28"/>
          <w:szCs w:val="28"/>
        </w:rPr>
        <w:t xml:space="preserve">Document control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Policy owner</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[name and role]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Approved by</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[owner, chief executive, board or delegated executive]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Approval date</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[date]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Next review</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[date, normally within 12 months]</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Version</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[1.0]</w:t>
            </w:r>
          </w:p>
        </w:tc>
      </w:tr>
    </w:tbl>
    <w:p>
      <w:pPr>
        <w:pStyle w:val="Heading1"/>
        <w:spacing w:before="320"/>
      </w:pPr>
      <w:r>
        <w:rPr>
          <w:rFonts w:ascii="Calibri" w:cs="Calibri" w:eastAsia="Calibri" w:hAnsi="Calibri"/>
          <w:b/>
          <w:bCs/>
          <w:sz w:val="28"/>
          <w:szCs w:val="28"/>
        </w:rPr>
        <w:t xml:space="preserve">How to complete this template</w:t>
      </w:r>
    </w:p>
    <w:p>
      <w:pPr>
        <w:spacing w:after="240"/>
      </w:pPr>
      <w:r>
        <w:rPr>
          <w:rFonts w:ascii="Calibri" w:cs="Calibri" w:eastAsia="Calibri" w:hAnsi="Calibri"/>
          <w:sz w:val="22"/>
          <w:szCs w:val="22"/>
        </w:rPr>
        <w:t xml:space="preserve">Work top to bottom and fill every yellow field. Delete any clause that does not reflect how your business actually operates — an auditor will ask you to demonstrate each claim. The full plain-English guide for every clause, with sources, lives at securitypolicy.com.au.</w:t>
      </w:r>
    </w:p>
    <w:p>
      <w:pPr>
        <w:pStyle w:val="Heading1"/>
      </w:pPr>
      <w:r>
        <w:rPr>
          <w:rFonts w:ascii="Calibri" w:cs="Calibri" w:eastAsia="Calibri" w:hAnsi="Calibri"/>
          <w:b/>
          <w:bCs/>
          <w:sz w:val="28"/>
          <w:szCs w:val="28"/>
        </w:rPr>
        <w:t xml:space="preserve">Policy</w:t>
      </w:r>
    </w:p>
    <w:p>
      <w:pPr>
        <w:pStyle w:val="Heading2"/>
        <w:spacing w:before="280"/>
      </w:pPr>
      <w:r>
        <w:rPr>
          <w:rFonts w:ascii="Calibri" w:cs="Calibri" w:eastAsia="Calibri" w:hAnsi="Calibri"/>
          <w:b/>
          <w:bCs/>
          <w:sz w:val="24"/>
          <w:szCs w:val="24"/>
        </w:rPr>
        <w:t xml:space="preserve">1. What is a password policy, and does my business actually need one</w:t>
      </w:r>
    </w:p>
    <w:p>
      <w:pPr>
        <w:spacing w:after="120"/>
      </w:pPr>
      <w:r>
        <w:rPr>
          <w:rFonts w:ascii="Calibri" w:cs="Calibri" w:eastAsia="Calibri" w:hAnsi="Calibri"/>
          <w:i/>
          <w:iCs/>
          <w:color w:val="666666"/>
          <w:sz w:val="18"/>
          <w:szCs w:val="18"/>
        </w:rPr>
        <w:t xml:space="preserve">Drafted to answer: What is a password policy, and does my business actually need one?</w:t>
      </w:r>
    </w:p>
    <w:p>
      <w:pPr>
        <w:spacing w:after="160"/>
      </w:pPr>
      <w:r>
        <w:rPr>
          <w:rFonts w:ascii="Calibri" w:cs="Calibri" w:eastAsia="Calibri" w:hAnsi="Calibri"/>
          <w:sz w:val="22"/>
          <w:szCs w:val="22"/>
        </w:rPr>
        <w:t xml:space="preserve">Every credential used to access the organisation’s systems, applications, devices, networks, information or data must be unique, appropriately strong, protected from unauthorised disclosure and used only by the person or service to which it was assigned. Credentials must be created, issued, stored, reset, transmitted and retired through approved processes and must be changed immediately when a defined compromise event occurs.</w:t>
      </w:r>
    </w:p>
    <w:p>
      <w:pPr>
        <w:pStyle w:val="Heading2"/>
        <w:spacing w:before="280"/>
      </w:pPr>
      <w:r>
        <w:rPr>
          <w:rFonts w:ascii="Calibri" w:cs="Calibri" w:eastAsia="Calibri" w:hAnsi="Calibri"/>
          <w:b/>
          <w:bCs/>
          <w:sz w:val="24"/>
          <w:szCs w:val="24"/>
        </w:rPr>
        <w:t xml:space="preserve">2. What must it contain — the non-negotiable sections</w:t>
      </w:r>
    </w:p>
    <w:p>
      <w:pPr>
        <w:spacing w:after="120"/>
      </w:pPr>
      <w:r>
        <w:rPr>
          <w:rFonts w:ascii="Calibri" w:cs="Calibri" w:eastAsia="Calibri" w:hAnsi="Calibri"/>
          <w:i/>
          <w:iCs/>
          <w:color w:val="666666"/>
          <w:sz w:val="18"/>
          <w:szCs w:val="18"/>
        </w:rPr>
        <w:t xml:space="preserve">Drafted to answer: What must it contain — the non-negotiable sections?</w:t>
      </w:r>
    </w:p>
    <w:p>
      <w:pPr>
        <w:spacing w:after="160"/>
      </w:pPr>
      <w:r>
        <w:rPr>
          <w:rFonts w:ascii="Calibri" w:cs="Calibri" w:eastAsia="Calibri" w:hAnsi="Calibri"/>
          <w:sz w:val="22"/>
          <w:szCs w:val="22"/>
        </w:rPr>
        <w:t xml:space="preserve">This policy governs password and passphrase length, prohibited and compromised credentials, uniqueness and reuse, multi-factor authentication, approved password managers, credential generation and reset, identity verification, secure delivery and storage, privileged and service accounts, shared and emergency accounts, recovery methods, monitoring, exceptions and credential changes following compromise. Technical settings must enforce these requirements wherever the system supports them.</w:t>
      </w:r>
    </w:p>
    <w:p>
      <w:pPr>
        <w:pStyle w:val="Heading2"/>
        <w:spacing w:before="280"/>
      </w:pPr>
      <w:r>
        <w:rPr>
          <w:rFonts w:ascii="Calibri" w:cs="Calibri" w:eastAsia="Calibri" w:hAnsi="Calibri"/>
          <w:b/>
          <w:bCs/>
          <w:sz w:val="24"/>
          <w:szCs w:val="24"/>
        </w:rPr>
        <w:t xml:space="preserve">3. Length vs complexity — what actually makes a strong passphrase</w:t>
      </w:r>
    </w:p>
    <w:p>
      <w:pPr>
        <w:spacing w:after="120"/>
      </w:pPr>
      <w:r>
        <w:rPr>
          <w:rFonts w:ascii="Calibri" w:cs="Calibri" w:eastAsia="Calibri" w:hAnsi="Calibri"/>
          <w:i/>
          <w:iCs/>
          <w:color w:val="666666"/>
          <w:sz w:val="18"/>
          <w:szCs w:val="18"/>
        </w:rPr>
        <w:t xml:space="preserve">Drafted to answer: Length vs complexity — what actually makes a strong passphrase?</w:t>
      </w:r>
    </w:p>
    <w:p>
      <w:pPr>
        <w:spacing w:after="160"/>
      </w:pPr>
      <w:r>
        <w:rPr>
          <w:rFonts w:ascii="Calibri" w:cs="Calibri" w:eastAsia="Calibri" w:hAnsi="Calibri"/>
          <w:sz w:val="22"/>
          <w:szCs w:val="22"/>
        </w:rPr>
        <w:t xml:space="preserve">A memorised passphrase must be at least 15 characters long and consist of four or more unrelated random words. It must be unique to the account and must not contain a known or compromised password, personal information, a predictable sentence, song lyric, quotation, keyboard pattern or obvious substitution. Systems must not impose arbitrary uppercase, lowercase, number and symbol composition rules unless a legacy system requires them and an approved exception records the reason.</w:t>
      </w:r>
    </w:p>
    <w:p>
      <w:pPr>
        <w:pStyle w:val="Heading2"/>
        <w:spacing w:before="280"/>
      </w:pPr>
      <w:r>
        <w:rPr>
          <w:rFonts w:ascii="Calibri" w:cs="Calibri" w:eastAsia="Calibri" w:hAnsi="Calibri"/>
          <w:b/>
          <w:bCs/>
          <w:sz w:val="24"/>
          <w:szCs w:val="24"/>
        </w:rPr>
        <w:t xml:space="preserve">4. Should we force 90-day password changes? (and when must credentials change)</w:t>
      </w:r>
    </w:p>
    <w:p>
      <w:pPr>
        <w:spacing w:after="120"/>
      </w:pPr>
      <w:r>
        <w:rPr>
          <w:rFonts w:ascii="Calibri" w:cs="Calibri" w:eastAsia="Calibri" w:hAnsi="Calibri"/>
          <w:i/>
          <w:iCs/>
          <w:color w:val="666666"/>
          <w:sz w:val="18"/>
          <w:szCs w:val="18"/>
        </w:rPr>
        <w:t xml:space="preserve">Drafted to answer: Should we force 90-day password changes? (and when must credentials change)</w:t>
      </w:r>
    </w:p>
    <w:p>
      <w:pPr>
        <w:spacing w:after="160"/>
      </w:pPr>
      <w:r>
        <w:rPr>
          <w:rFonts w:ascii="Calibri" w:cs="Calibri" w:eastAsia="Calibri" w:hAnsi="Calibri"/>
          <w:sz w:val="22"/>
          <w:szCs w:val="22"/>
        </w:rPr>
        <w:t xml:space="preserve">Ordinary user credentials will not be changed on an arbitrary 90-day schedule unless a documented law, contract, system limitation or approved risk requirement applies. A credential must be changed immediately if it is compromised, suspected of compromise, found in a breach or compromised-password source, stored or transmitted in clear text, disclosed to an unauthorised person, or affected by a change in membership of a shared account. Relevant sessions, tokens and recovery methods must also be revoked or reset.</w:t>
      </w:r>
    </w:p>
    <w:p>
      <w:pPr>
        <w:pStyle w:val="Heading2"/>
        <w:spacing w:before="280"/>
      </w:pPr>
      <w:r>
        <w:rPr>
          <w:rFonts w:ascii="Calibri" w:cs="Calibri" w:eastAsia="Calibri" w:hAnsi="Calibri"/>
          <w:b/>
          <w:bCs/>
          <w:sz w:val="24"/>
          <w:szCs w:val="24"/>
        </w:rPr>
        <w:t xml:space="preserve">5. Password managers and reuse — what should the rules be</w:t>
      </w:r>
    </w:p>
    <w:p>
      <w:pPr>
        <w:spacing w:after="120"/>
      </w:pPr>
      <w:r>
        <w:rPr>
          <w:rFonts w:ascii="Calibri" w:cs="Calibri" w:eastAsia="Calibri" w:hAnsi="Calibri"/>
          <w:i/>
          <w:iCs/>
          <w:color w:val="666666"/>
          <w:sz w:val="18"/>
          <w:szCs w:val="18"/>
        </w:rPr>
        <w:t xml:space="preserve">Drafted to answer: Password managers and reuse — what should the rules be?</w:t>
      </w:r>
    </w:p>
    <w:p>
      <w:pPr>
        <w:spacing w:after="160"/>
      </w:pPr>
      <w:r>
        <w:rPr>
          <w:rFonts w:ascii="Calibri" w:cs="Calibri" w:eastAsia="Calibri" w:hAnsi="Calibri"/>
          <w:sz w:val="22"/>
          <w:szCs w:val="22"/>
        </w:rPr>
        <w:t xml:space="preserve">Credentials must not be reused across different systems or accounts. Business credentials must be stored in the organisation’s approved password manager or another approved protected credential store and must not be kept in email, chat, tickets, documents, spreadsheets, browser notes or unprotected device applications. The password-manager vault must be protected by a unique strong passphrase and multi-factor authentication. Shared access must use named vault permissions wherever technically possible.</w:t>
      </w:r>
    </w:p>
    <w:p>
      <w:pPr>
        <w:pStyle w:val="Heading2"/>
        <w:spacing w:before="280"/>
      </w:pPr>
      <w:r>
        <w:rPr>
          <w:rFonts w:ascii="Calibri" w:cs="Calibri" w:eastAsia="Calibri" w:hAnsi="Calibri"/>
          <w:b/>
          <w:bCs/>
          <w:sz w:val="24"/>
          <w:szCs w:val="24"/>
        </w:rPr>
        <w:t xml:space="preserve">6. How does MFA change the password rules</w:t>
      </w:r>
    </w:p>
    <w:p>
      <w:pPr>
        <w:spacing w:after="120"/>
      </w:pPr>
      <w:r>
        <w:rPr>
          <w:rFonts w:ascii="Calibri" w:cs="Calibri" w:eastAsia="Calibri" w:hAnsi="Calibri"/>
          <w:i/>
          <w:iCs/>
          <w:color w:val="666666"/>
          <w:sz w:val="18"/>
          <w:szCs w:val="18"/>
        </w:rPr>
        <w:t xml:space="preserve">Drafted to answer: How does MFA change the password rules?</w:t>
      </w:r>
    </w:p>
    <w:p>
      <w:pPr>
        <w:spacing w:after="160"/>
      </w:pPr>
      <w:r>
        <w:rPr>
          <w:rFonts w:ascii="Calibri" w:cs="Calibri" w:eastAsia="Calibri" w:hAnsi="Calibri"/>
          <w:sz w:val="22"/>
          <w:szCs w:val="22"/>
        </w:rPr>
        <w:t xml:space="preserve">Multi-factor authentication must be enabled for every system and service designated by the Access Control Policy or the organisation’s Essential Eight target. Phishing-resistant MFA must be used where supported and required by risk or framework obligations. MFA does not permit password sharing, reuse or insecure storage. Where a service supports an approved passkey or passwordless method, that method may replace a password subject to approved recovery and device-security controls.</w:t>
      </w:r>
    </w:p>
    <w:p>
      <w:pPr>
        <w:pStyle w:val="Heading2"/>
        <w:spacing w:before="280"/>
      </w:pPr>
      <w:r>
        <w:rPr>
          <w:rFonts w:ascii="Calibri" w:cs="Calibri" w:eastAsia="Calibri" w:hAnsi="Calibri"/>
          <w:b/>
          <w:bCs/>
          <w:sz w:val="24"/>
          <w:szCs w:val="24"/>
        </w:rPr>
        <w:t xml:space="preserve">7. Service accounts, shared accounts and admin credentials</w:t>
      </w:r>
    </w:p>
    <w:p>
      <w:pPr>
        <w:spacing w:after="120"/>
      </w:pPr>
      <w:r>
        <w:rPr>
          <w:rFonts w:ascii="Calibri" w:cs="Calibri" w:eastAsia="Calibri" w:hAnsi="Calibri"/>
          <w:i/>
          <w:iCs/>
          <w:color w:val="666666"/>
          <w:sz w:val="18"/>
          <w:szCs w:val="18"/>
        </w:rPr>
        <w:t xml:space="preserve">Drafted to answer: Service accounts, shared accounts and admin credentials</w:t>
      </w:r>
    </w:p>
    <w:p>
      <w:pPr>
        <w:spacing w:after="160"/>
      </w:pPr>
      <w:r>
        <w:rPr>
          <w:rFonts w:ascii="Calibri" w:cs="Calibri" w:eastAsia="Calibri" w:hAnsi="Calibri"/>
          <w:sz w:val="22"/>
          <w:szCs w:val="22"/>
        </w:rPr>
        <w:t xml:space="preserve">Shared human credentials are prohibited unless technically unavoidable and expressly approved. Every approved shared account must have an owner, authorised-user register, purpose, review date and protected vault record, and its credential must change whenever authorised membership changes. Built-in administrator, break-glass, local administrator and service-account credentials must be unique, unpredictable, randomly generated, managed and at least 30 characters long. Managed service identities must be used where supported.</w:t>
      </w:r>
    </w:p>
    <w:p>
      <w:pPr>
        <w:pStyle w:val="Heading2"/>
        <w:spacing w:before="280"/>
      </w:pPr>
      <w:r>
        <w:rPr>
          <w:rFonts w:ascii="Calibri" w:cs="Calibri" w:eastAsia="Calibri" w:hAnsi="Calibri"/>
          <w:b/>
          <w:bCs/>
          <w:sz w:val="24"/>
          <w:szCs w:val="24"/>
        </w:rPr>
        <w:t xml:space="preserve">8. How does it relate to the access-control policy and Essential Eight</w:t>
      </w:r>
    </w:p>
    <w:p>
      <w:pPr>
        <w:spacing w:after="120"/>
      </w:pPr>
      <w:r>
        <w:rPr>
          <w:rFonts w:ascii="Calibri" w:cs="Calibri" w:eastAsia="Calibri" w:hAnsi="Calibri"/>
          <w:i/>
          <w:iCs/>
          <w:color w:val="666666"/>
          <w:sz w:val="18"/>
          <w:szCs w:val="18"/>
        </w:rPr>
        <w:t xml:space="preserve">Drafted to answer: How does it relate to the access-control policy and Essential Eight?</w:t>
      </w:r>
    </w:p>
    <w:p>
      <w:pPr>
        <w:spacing w:after="160"/>
      </w:pPr>
      <w:r>
        <w:rPr>
          <w:rFonts w:ascii="Calibri" w:cs="Calibri" w:eastAsia="Calibri" w:hAnsi="Calibri"/>
          <w:sz w:val="22"/>
          <w:szCs w:val="22"/>
        </w:rPr>
        <w:t xml:space="preserve">This policy implements the credential requirements of the Access Control Policy and supports the organisation’s Essential Eight multi-factor authentication and restriction of administrative privileges strategies. The Access Control Policy determines who receives access and at what level; this policy determines how password-based credentials are created, protected, reset and retired. The organisation must not claim an Essential Eight maturity level based on password controls or partial MFA deployment alone.</w:t>
      </w:r>
    </w:p>
    <w:p>
      <w:pPr>
        <w:pStyle w:val="Heading2"/>
        <w:spacing w:before="280"/>
      </w:pPr>
      <w:r>
        <w:rPr>
          <w:rFonts w:ascii="Calibri" w:cs="Calibri" w:eastAsia="Calibri" w:hAnsi="Calibri"/>
          <w:b/>
          <w:bCs/>
          <w:sz w:val="24"/>
          <w:szCs w:val="24"/>
        </w:rPr>
        <w:t xml:space="preserve">9. The common gaps and red flags</w:t>
      </w:r>
    </w:p>
    <w:p>
      <w:pPr>
        <w:spacing w:after="120"/>
      </w:pPr>
      <w:r>
        <w:rPr>
          <w:rFonts w:ascii="Calibri" w:cs="Calibri" w:eastAsia="Calibri" w:hAnsi="Calibri"/>
          <w:i/>
          <w:iCs/>
          <w:color w:val="666666"/>
          <w:sz w:val="18"/>
          <w:szCs w:val="18"/>
        </w:rPr>
        <w:t xml:space="preserve">Drafted to answer: The common gaps and red flags?</w:t>
      </w:r>
    </w:p>
    <w:p>
      <w:pPr>
        <w:spacing w:after="160"/>
      </w:pPr>
      <w:r>
        <w:rPr>
          <w:rFonts w:ascii="Calibri" w:cs="Calibri" w:eastAsia="Calibri" w:hAnsi="Calibri"/>
          <w:sz w:val="22"/>
          <w:szCs w:val="22"/>
        </w:rPr>
        <w:t xml:space="preserve">Credentials must not be stored or transmitted in clear text, embedded in source code or scripts, placed in tickets, email, chat, documents or spreadsheets, or written where they are exposed. Systems must block commonly used and known compromised passwords and must support long credentials. Password resets must verify the requester’s identity. Every credential must have an identifiable owner, and exceptions must record the risk, compensating controls, approver and expiry date.</w:t>
      </w:r>
    </w:p>
    <w:p>
      <w:pPr>
        <w:pStyle w:val="Heading1"/>
        <w:spacing w:before="320"/>
      </w:pPr>
      <w:r>
        <w:rPr>
          <w:rFonts w:ascii="Calibri" w:cs="Calibri" w:eastAsia="Calibri" w:hAnsi="Calibri"/>
          <w:b/>
          <w:bCs/>
          <w:sz w:val="28"/>
          <w:szCs w:val="28"/>
        </w:rPr>
        <w:t xml:space="preserve">Schedule: obligations this policy supports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2340"/>
        <w:gridCol w:w="3900"/>
      </w:tblGrid>
      <w:tr>
        <w:tc>
          <w:tcPr>
            <w:tcW w:type="dxa" w:w="3120"/>
            <w:shd w:fill="F4F5F7" w:val="clear"/>
            <w:tcMar>
              <w:top w:type="dxa" w:w="80"/>
              <w:left w:type="dxa" w:w="120"/>
              <w:bottom w:type="dxa" w:w="80"/>
              <w:right w:type="dxa" w:w="120"/>
            </w:tcMar>
          </w:tcPr>
          <w:p>
            <w:r>
              <w:rPr>
                <w:rFonts w:ascii="Calibri" w:cs="Calibri" w:eastAsia="Calibri" w:hAnsi="Calibri"/>
                <w:b/>
                <w:bCs/>
                <w:sz w:val="20"/>
                <w:szCs w:val="20"/>
              </w:rPr>
              <w:t xml:space="preserve">Obligation</w:t>
            </w:r>
          </w:p>
        </w:tc>
        <w:tc>
          <w:tcPr>
            <w:tcW w:type="dxa" w:w="2340"/>
            <w:shd w:fill="F4F5F7" w:val="clear"/>
            <w:tcMar>
              <w:top w:type="dxa" w:w="80"/>
              <w:left w:type="dxa" w:w="120"/>
              <w:bottom w:type="dxa" w:w="80"/>
              <w:right w:type="dxa" w:w="120"/>
            </w:tcMar>
          </w:tcPr>
          <w:p>
            <w:r>
              <w:rPr>
                <w:rFonts w:ascii="Calibri" w:cs="Calibri" w:eastAsia="Calibri" w:hAnsi="Calibri"/>
                <w:b/>
                <w:bCs/>
                <w:sz w:val="20"/>
                <w:szCs w:val="20"/>
              </w:rPr>
              <w:t xml:space="preserve">Regulator</w:t>
            </w:r>
          </w:p>
        </w:tc>
        <w:tc>
          <w:tcPr>
            <w:tcW w:type="dxa" w:w="3900"/>
            <w:shd w:fill="F4F5F7" w:val="clear"/>
            <w:tcMar>
              <w:top w:type="dxa" w:w="80"/>
              <w:left w:type="dxa" w:w="120"/>
              <w:bottom w:type="dxa" w:w="80"/>
              <w:right w:type="dxa" w:w="120"/>
            </w:tcMar>
          </w:tcPr>
          <w:p>
            <w:r>
              <w:rPr>
                <w:rFonts w:ascii="Calibri" w:cs="Calibri" w:eastAsia="Calibri" w:hAnsi="Calibri"/>
                <w:b/>
                <w:bCs/>
                <w:sz w:val="20"/>
                <w:szCs w:val="20"/>
              </w:rPr>
              <w:t xml:space="preserve">Timeframe</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APP 11 security of personal information</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Office of the Australian Information Commissioner</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Ongoing while the personal information is held.</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ISM single-factor password strength</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At credential creation and whenever the credential is reset or changed.</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ISM compromise-driven user credential change</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When the triggering condition is identified.</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ISM credential non-reuse</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At credential creation and use.</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ISM administrator and service-account credential strength</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At creation and throughout the credential lifecycle.</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ISM protected credential storage</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Ongoing while the credentials are stored.</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Essential Eight multi-factor authentication</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According to the selected maturity level and the systems, services and repositories within scope.</w:t>
            </w:r>
          </w:p>
        </w:tc>
      </w:tr>
    </w:tbl>
    <w:p>
      <w:pPr>
        <w:pStyle w:val="Heading1"/>
        <w:spacing w:before="320"/>
      </w:pPr>
      <w:r>
        <w:rPr>
          <w:rFonts w:ascii="Calibri" w:cs="Calibri" w:eastAsia="Calibri" w:hAnsi="Calibri"/>
          <w:b/>
          <w:bCs/>
          <w:sz w:val="28"/>
          <w:szCs w:val="28"/>
        </w:rPr>
        <w:t xml:space="preserve">A note on scope</w:t>
      </w:r>
    </w:p>
    <w:p>
      <w:r>
        <w:rPr>
          <w:rFonts w:ascii="Calibri" w:cs="Calibri" w:eastAsia="Calibri" w:hAnsi="Calibri"/>
          <w:sz w:val="22"/>
          <w:szCs w:val="22"/>
        </w:rPr>
        <w:t xml:space="preserve">This template is a professionally drafted starting point and education, not legal advice and not a guarantee of compliance. Your obligations depend on your industry, your contracts and your data. Have a qualified adviser review the finished policy before you rely on it.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Password and Authentication Policy — Australia template</dc:title>
  <dc:creator>SecurityPolicy.com.au</dc:creator>
  <dc:description>Set practical Australian password rules covering long passphrases, rotation, reuse, password managers, MFA and privileged credentials.</dc:description>
  <cp:lastModifiedBy>Un-named</cp:lastModifiedBy>
  <cp:revision>1</cp:revision>
  <dcterms:created xsi:type="dcterms:W3CDTF">2026-07-13T14:56:33.812Z</dcterms:created>
  <dcterms:modified xsi:type="dcterms:W3CDTF">2026-07-13T14:56:33.812Z</dcterms:modified>
</cp:coreProperties>
</file>

<file path=docProps/custom.xml><?xml version="1.0" encoding="utf-8"?>
<Properties xmlns="http://schemas.openxmlformats.org/officeDocument/2006/custom-properties" xmlns:vt="http://schemas.openxmlformats.org/officeDocument/2006/docPropsVTypes"/>
</file>