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pPr>
      <w:r>
        <w:rPr>
          <w:rFonts w:ascii="Calibri" w:cs="Calibri" w:eastAsia="Calibri" w:hAnsi="Calibri"/>
          <w:b/>
          <w:bCs/>
          <w:sz w:val="52"/>
          <w:szCs w:val="52"/>
        </w:rPr>
        <w:t xml:space="preserve">Data Breach Response Plan</w:t>
      </w:r>
    </w:p>
    <w:p>
      <w:pPr>
        <w:spacing w:after="240"/>
      </w:pPr>
      <w:r>
        <w:rPr>
          <w:rFonts w:ascii="Calibri" w:cs="Calibri" w:eastAsia="Calibri" w:hAnsi="Calibri"/>
          <w:color w:val="666666"/>
          <w:sz w:val="20"/>
          <w:szCs w:val="20"/>
        </w:rPr>
        <w:t xml:space="preserve">Australia edition · editable template · SecurityPolicy.com.au</w:t>
      </w:r>
    </w:p>
    <w:p>
      <w:pPr>
        <w:spacing w:after="240"/>
      </w:pPr>
      <w:r>
        <w:rPr>
          <w:rFonts w:ascii="Calibri" w:cs="Calibri" w:eastAsia="Calibri" w:hAnsi="Calibri"/>
          <w:sz w:val="22"/>
          <w:szCs w:val="22"/>
        </w:rPr>
        <w:t xml:space="preserve">This policy is adopted by </w:t>
      </w:r>
      <w:r>
        <w:rPr>
          <w:rFonts w:ascii="Calibri" w:cs="Calibri" w:eastAsia="Calibri" w:hAnsi="Calibri"/>
          <w:sz w:val="22"/>
          <w:szCs w:val="22"/>
          <w:highlight w:val="yellow"/>
          <w:highlightCs w:val="yellow"/>
        </w:rPr>
        <w:t xml:space="preserve">[organisation name]</w:t>
      </w:r>
      <w:r>
        <w:rPr>
          <w:rFonts w:ascii="Calibri" w:cs="Calibri" w:eastAsia="Calibri" w:hAnsi="Calibri"/>
          <w:sz w:val="22"/>
          <w:szCs w:val="22"/>
        </w:rPr>
        <w:t xml:space="preserve"> ("we", "us", "our").</w:t>
      </w:r>
    </w:p>
    <w:p>
      <w:pPr>
        <w:pStyle w:val="Heading1"/>
      </w:pPr>
      <w:r>
        <w:rPr>
          <w:rFonts w:ascii="Calibri" w:cs="Calibri" w:eastAsia="Calibri" w:hAnsi="Calibri"/>
          <w:b/>
          <w:bCs/>
          <w:sz w:val="28"/>
          <w:szCs w:val="28"/>
        </w:rPr>
        <w:t xml:space="preserve">Document control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c>
          <w:tcPr>
            <w:tcW w:type="dxa" w:w="2600"/>
            <w:shd w:fill="F4F5F7" w:val="clear"/>
            <w:tcMar>
              <w:top w:type="dxa" w:w="80"/>
              <w:left w:type="dxa" w:w="120"/>
              <w:bottom w:type="dxa" w:w="80"/>
              <w:right w:type="dxa" w:w="120"/>
            </w:tcMar>
          </w:tcPr>
          <w:p>
            <w:r>
              <w:rPr>
                <w:rFonts w:ascii="Calibri" w:cs="Calibri" w:eastAsia="Calibri" w:hAnsi="Calibri"/>
                <w:b/>
                <w:bCs/>
                <w:sz w:val="20"/>
                <w:szCs w:val="20"/>
              </w:rPr>
              <w:t xml:space="preserve">Policy owner</w:t>
            </w:r>
          </w:p>
        </w:tc>
        <w:tc>
          <w:tcPr>
            <w:tcW w:type="dxa" w:w="6760"/>
            <w:tcMar>
              <w:top w:type="dxa" w:w="80"/>
              <w:left w:type="dxa" w:w="120"/>
              <w:bottom w:type="dxa" w:w="80"/>
              <w:right w:type="dxa" w:w="120"/>
            </w:tcMar>
          </w:tcPr>
          <w:p>
            <w:r>
              <w:rPr>
                <w:rFonts w:ascii="Calibri" w:cs="Calibri" w:eastAsia="Calibri" w:hAnsi="Calibri"/>
                <w:sz w:val="20"/>
                <w:szCs w:val="20"/>
                <w:highlight w:val="yellow"/>
                <w:highlightCs w:val="yellow"/>
              </w:rPr>
              <w:t xml:space="preserve">[name and role]</w:t>
            </w:r>
          </w:p>
        </w:tc>
      </w:tr>
      <w:tr>
        <w:tc>
          <w:tcPr>
            <w:tcW w:type="dxa" w:w="2600"/>
            <w:shd w:fill="F4F5F7" w:val="clear"/>
            <w:tcMar>
              <w:top w:type="dxa" w:w="80"/>
              <w:left w:type="dxa" w:w="120"/>
              <w:bottom w:type="dxa" w:w="80"/>
              <w:right w:type="dxa" w:w="120"/>
            </w:tcMar>
          </w:tcPr>
          <w:p>
            <w:r>
              <w:rPr>
                <w:rFonts w:ascii="Calibri" w:cs="Calibri" w:eastAsia="Calibri" w:hAnsi="Calibri"/>
                <w:b/>
                <w:bCs/>
                <w:sz w:val="20"/>
                <w:szCs w:val="20"/>
              </w:rPr>
              <w:t xml:space="preserve">Approved by</w:t>
            </w:r>
          </w:p>
        </w:tc>
        <w:tc>
          <w:tcPr>
            <w:tcW w:type="dxa" w:w="6760"/>
            <w:tcMar>
              <w:top w:type="dxa" w:w="80"/>
              <w:left w:type="dxa" w:w="120"/>
              <w:bottom w:type="dxa" w:w="80"/>
              <w:right w:type="dxa" w:w="120"/>
            </w:tcMar>
          </w:tcPr>
          <w:p>
            <w:r>
              <w:rPr>
                <w:rFonts w:ascii="Calibri" w:cs="Calibri" w:eastAsia="Calibri" w:hAnsi="Calibri"/>
                <w:sz w:val="20"/>
                <w:szCs w:val="20"/>
                <w:highlight w:val="yellow"/>
                <w:highlightCs w:val="yellow"/>
              </w:rPr>
              <w:t xml:space="preserve">[owner, chief executive, board or delegated executive]</w:t>
            </w:r>
          </w:p>
        </w:tc>
      </w:tr>
      <w:tr>
        <w:tc>
          <w:tcPr>
            <w:tcW w:type="dxa" w:w="2600"/>
            <w:shd w:fill="F4F5F7" w:val="clear"/>
            <w:tcMar>
              <w:top w:type="dxa" w:w="80"/>
              <w:left w:type="dxa" w:w="120"/>
              <w:bottom w:type="dxa" w:w="80"/>
              <w:right w:type="dxa" w:w="120"/>
            </w:tcMar>
          </w:tcPr>
          <w:p>
            <w:r>
              <w:rPr>
                <w:rFonts w:ascii="Calibri" w:cs="Calibri" w:eastAsia="Calibri" w:hAnsi="Calibri"/>
                <w:b/>
                <w:bCs/>
                <w:sz w:val="20"/>
                <w:szCs w:val="20"/>
              </w:rPr>
              <w:t xml:space="preserve">Approval date</w:t>
            </w:r>
          </w:p>
        </w:tc>
        <w:tc>
          <w:tcPr>
            <w:tcW w:type="dxa" w:w="6760"/>
            <w:tcMar>
              <w:top w:type="dxa" w:w="80"/>
              <w:left w:type="dxa" w:w="120"/>
              <w:bottom w:type="dxa" w:w="80"/>
              <w:right w:type="dxa" w:w="120"/>
            </w:tcMar>
          </w:tcPr>
          <w:p>
            <w:r>
              <w:rPr>
                <w:rFonts w:ascii="Calibri" w:cs="Calibri" w:eastAsia="Calibri" w:hAnsi="Calibri"/>
                <w:sz w:val="20"/>
                <w:szCs w:val="20"/>
                <w:highlight w:val="yellow"/>
                <w:highlightCs w:val="yellow"/>
              </w:rPr>
              <w:t xml:space="preserve">[date]</w:t>
            </w:r>
          </w:p>
        </w:tc>
      </w:tr>
      <w:tr>
        <w:tc>
          <w:tcPr>
            <w:tcW w:type="dxa" w:w="2600"/>
            <w:shd w:fill="F4F5F7" w:val="clear"/>
            <w:tcMar>
              <w:top w:type="dxa" w:w="80"/>
              <w:left w:type="dxa" w:w="120"/>
              <w:bottom w:type="dxa" w:w="80"/>
              <w:right w:type="dxa" w:w="120"/>
            </w:tcMar>
          </w:tcPr>
          <w:p>
            <w:r>
              <w:rPr>
                <w:rFonts w:ascii="Calibri" w:cs="Calibri" w:eastAsia="Calibri" w:hAnsi="Calibri"/>
                <w:b/>
                <w:bCs/>
                <w:sz w:val="20"/>
                <w:szCs w:val="20"/>
              </w:rPr>
              <w:t xml:space="preserve">Next review</w:t>
            </w:r>
          </w:p>
        </w:tc>
        <w:tc>
          <w:tcPr>
            <w:tcW w:type="dxa" w:w="6760"/>
            <w:tcMar>
              <w:top w:type="dxa" w:w="80"/>
              <w:left w:type="dxa" w:w="120"/>
              <w:bottom w:type="dxa" w:w="80"/>
              <w:right w:type="dxa" w:w="120"/>
            </w:tcMar>
          </w:tcPr>
          <w:p>
            <w:r>
              <w:rPr>
                <w:rFonts w:ascii="Calibri" w:cs="Calibri" w:eastAsia="Calibri" w:hAnsi="Calibri"/>
                <w:sz w:val="20"/>
                <w:szCs w:val="20"/>
                <w:highlight w:val="yellow"/>
                <w:highlightCs w:val="yellow"/>
              </w:rPr>
              <w:t xml:space="preserve">[date, normally within 12 months]</w:t>
            </w:r>
          </w:p>
        </w:tc>
      </w:tr>
      <w:tr>
        <w:tc>
          <w:tcPr>
            <w:tcW w:type="dxa" w:w="2600"/>
            <w:shd w:fill="F4F5F7" w:val="clear"/>
            <w:tcMar>
              <w:top w:type="dxa" w:w="80"/>
              <w:left w:type="dxa" w:w="120"/>
              <w:bottom w:type="dxa" w:w="80"/>
              <w:right w:type="dxa" w:w="120"/>
            </w:tcMar>
          </w:tcPr>
          <w:p>
            <w:r>
              <w:rPr>
                <w:rFonts w:ascii="Calibri" w:cs="Calibri" w:eastAsia="Calibri" w:hAnsi="Calibri"/>
                <w:b/>
                <w:bCs/>
                <w:sz w:val="20"/>
                <w:szCs w:val="20"/>
              </w:rPr>
              <w:t xml:space="preserve">Version</w:t>
            </w:r>
          </w:p>
        </w:tc>
        <w:tc>
          <w:tcPr>
            <w:tcW w:type="dxa" w:w="6760"/>
            <w:tcMar>
              <w:top w:type="dxa" w:w="80"/>
              <w:left w:type="dxa" w:w="120"/>
              <w:bottom w:type="dxa" w:w="80"/>
              <w:right w:type="dxa" w:w="120"/>
            </w:tcMar>
          </w:tcPr>
          <w:p>
            <w:r>
              <w:rPr>
                <w:rFonts w:ascii="Calibri" w:cs="Calibri" w:eastAsia="Calibri" w:hAnsi="Calibri"/>
                <w:sz w:val="20"/>
                <w:szCs w:val="20"/>
                <w:highlight w:val="yellow"/>
                <w:highlightCs w:val="yellow"/>
              </w:rPr>
              <w:t xml:space="preserve">[1.0]</w:t>
            </w:r>
          </w:p>
        </w:tc>
      </w:tr>
    </w:tbl>
    <w:p>
      <w:pPr>
        <w:pStyle w:val="Heading1"/>
        <w:spacing w:before="320"/>
      </w:pPr>
      <w:r>
        <w:rPr>
          <w:rFonts w:ascii="Calibri" w:cs="Calibri" w:eastAsia="Calibri" w:hAnsi="Calibri"/>
          <w:b/>
          <w:bCs/>
          <w:sz w:val="28"/>
          <w:szCs w:val="28"/>
        </w:rPr>
        <w:t xml:space="preserve">How to complete this template</w:t>
      </w:r>
    </w:p>
    <w:p>
      <w:pPr>
        <w:spacing w:after="240"/>
      </w:pPr>
      <w:r>
        <w:rPr>
          <w:rFonts w:ascii="Calibri" w:cs="Calibri" w:eastAsia="Calibri" w:hAnsi="Calibri"/>
          <w:sz w:val="22"/>
          <w:szCs w:val="22"/>
        </w:rPr>
        <w:t xml:space="preserve">Work top to bottom and fill every yellow field. Delete any clause that does not reflect how your business actually operates — an auditor will ask you to demonstrate each claim. The full plain-English guide for every clause, with sources, lives at securitypolicy.com.au.</w:t>
      </w:r>
    </w:p>
    <w:p>
      <w:pPr>
        <w:pStyle w:val="Heading1"/>
      </w:pPr>
      <w:r>
        <w:rPr>
          <w:rFonts w:ascii="Calibri" w:cs="Calibri" w:eastAsia="Calibri" w:hAnsi="Calibri"/>
          <w:b/>
          <w:bCs/>
          <w:sz w:val="28"/>
          <w:szCs w:val="28"/>
        </w:rPr>
        <w:t xml:space="preserve">Policy</w:t>
      </w:r>
    </w:p>
    <w:p>
      <w:pPr>
        <w:pStyle w:val="Heading2"/>
        <w:spacing w:before="280"/>
      </w:pPr>
      <w:r>
        <w:rPr>
          <w:rFonts w:ascii="Calibri" w:cs="Calibri" w:eastAsia="Calibri" w:hAnsi="Calibri"/>
          <w:b/>
          <w:bCs/>
          <w:sz w:val="24"/>
          <w:szCs w:val="24"/>
        </w:rPr>
        <w:t xml:space="preserve">1. What is a data breach response plan, and does my business actually need one</w:t>
      </w:r>
    </w:p>
    <w:p>
      <w:pPr>
        <w:spacing w:after="120"/>
      </w:pPr>
      <w:r>
        <w:rPr>
          <w:rFonts w:ascii="Calibri" w:cs="Calibri" w:eastAsia="Calibri" w:hAnsi="Calibri"/>
          <w:i/>
          <w:iCs/>
          <w:color w:val="666666"/>
          <w:sz w:val="18"/>
          <w:szCs w:val="18"/>
        </w:rPr>
        <w:t xml:space="preserve">Drafted to answer: What is a data breach response plan, and does my business actually need one?</w:t>
      </w:r>
    </w:p>
    <w:p>
      <w:pPr>
        <w:spacing w:after="160"/>
      </w:pPr>
      <w:r>
        <w:rPr>
          <w:rFonts w:ascii="Calibri" w:cs="Calibri" w:eastAsia="Calibri" w:hAnsi="Calibri"/>
          <w:sz w:val="22"/>
          <w:szCs w:val="22"/>
        </w:rPr>
        <w:t xml:space="preserve">Every suspected loss, unauthorised access or unauthorised disclosure of personal information must be reported immediately to </w:t>
      </w:r>
      <w:r>
        <w:rPr>
          <w:rFonts w:ascii="Calibri" w:cs="Calibri" w:eastAsia="Calibri" w:hAnsi="Calibri"/>
          <w:sz w:val="22"/>
          <w:szCs w:val="22"/>
          <w:highlight w:val="yellow"/>
          <w:highlightCs w:val="yellow"/>
        </w:rPr>
        <w:t xml:space="preserve">[privacy or breach-response role]</w:t>
      </w:r>
      <w:r>
        <w:rPr>
          <w:rFonts w:ascii="Calibri" w:cs="Calibri" w:eastAsia="Calibri" w:hAnsi="Calibri"/>
          <w:sz w:val="22"/>
          <w:szCs w:val="22"/>
        </w:rPr>
        <w:t xml:space="preserve">. The organisation will activate this plan without waiting for proof of harm, contain and remediate the breach, assess whether it is an eligible data breach, make all required notifications and document the decision and response. No person may conceal, minimise or independently resolve a suspected data breach without reporting it.</w:t>
      </w:r>
    </w:p>
    <w:p>
      <w:pPr>
        <w:pStyle w:val="Heading2"/>
        <w:spacing w:before="280"/>
      </w:pPr>
      <w:r>
        <w:rPr>
          <w:rFonts w:ascii="Calibri" w:cs="Calibri" w:eastAsia="Calibri" w:hAnsi="Calibri"/>
          <w:b/>
          <w:bCs/>
          <w:sz w:val="24"/>
          <w:szCs w:val="24"/>
        </w:rPr>
        <w:t xml:space="preserve">2. What counts as an eligible data breach (the serious-harm test)</w:t>
      </w:r>
    </w:p>
    <w:p>
      <w:pPr>
        <w:spacing w:after="120"/>
      </w:pPr>
      <w:r>
        <w:rPr>
          <w:rFonts w:ascii="Calibri" w:cs="Calibri" w:eastAsia="Calibri" w:hAnsi="Calibri"/>
          <w:i/>
          <w:iCs/>
          <w:color w:val="666666"/>
          <w:sz w:val="18"/>
          <w:szCs w:val="18"/>
        </w:rPr>
        <w:t xml:space="preserve">Drafted to answer: What counts as an eligible data breach (the serious-harm test)?</w:t>
      </w:r>
    </w:p>
    <w:p>
      <w:pPr>
        <w:spacing w:after="160"/>
      </w:pPr>
      <w:r>
        <w:rPr>
          <w:rFonts w:ascii="Calibri" w:cs="Calibri" w:eastAsia="Calibri" w:hAnsi="Calibri"/>
          <w:sz w:val="22"/>
          <w:szCs w:val="22"/>
        </w:rPr>
        <w:t xml:space="preserve">The organisation will treat a breach as an eligible data breach when: (1) personal information has been accessed or disclosed without authority, or lost in circumstances where unauthorised access or disclosure is likely; (2) a reasonable person would conclude that serious harm to one or more affected individuals is likely; and (3) remedial action has not prevented that likely risk of serious harm. The assessment must consider the information involved, the circumstances and recipients, existing protections, likely misuse, affected individuals and all effective remedial action.</w:t>
      </w:r>
    </w:p>
    <w:p>
      <w:pPr>
        <w:pStyle w:val="Heading2"/>
        <w:spacing w:before="280"/>
      </w:pPr>
      <w:r>
        <w:rPr>
          <w:rFonts w:ascii="Calibri" w:cs="Calibri" w:eastAsia="Calibri" w:hAnsi="Calibri"/>
          <w:b/>
          <w:bCs/>
          <w:sz w:val="24"/>
          <w:szCs w:val="24"/>
        </w:rPr>
        <w:t xml:space="preserve">3. What are the four steps — contain, assess, notify, review</w:t>
      </w:r>
    </w:p>
    <w:p>
      <w:pPr>
        <w:spacing w:after="120"/>
      </w:pPr>
      <w:r>
        <w:rPr>
          <w:rFonts w:ascii="Calibri" w:cs="Calibri" w:eastAsia="Calibri" w:hAnsi="Calibri"/>
          <w:i/>
          <w:iCs/>
          <w:color w:val="666666"/>
          <w:sz w:val="18"/>
          <w:szCs w:val="18"/>
        </w:rPr>
        <w:t xml:space="preserve">Drafted to answer: What are the four steps — contain, assess, notify, review?</w:t>
      </w:r>
    </w:p>
    <w:p>
      <w:pPr>
        <w:spacing w:after="160"/>
      </w:pPr>
      <w:r>
        <w:rPr>
          <w:rFonts w:ascii="Calibri" w:cs="Calibri" w:eastAsia="Calibri" w:hAnsi="Calibri"/>
          <w:sz w:val="22"/>
          <w:szCs w:val="22"/>
        </w:rPr>
        <w:t xml:space="preserve">The response will follow four connected steps: CONTAIN — stop further loss, access or disclosure while preserving evidence; ASSESS — establish the facts, affected information and people, likely serious harm and effectiveness of remedial action; NOTIFY — make all legally required and risk-reducing notifications as soon as practicable; REVIEW — identify root causes, correct control failures, record lessons and update this plan. These steps may run at the same time and must not be treated as approval gates that delay urgent action.</w:t>
      </w:r>
    </w:p>
    <w:p>
      <w:pPr>
        <w:pStyle w:val="Heading2"/>
        <w:spacing w:before="280"/>
      </w:pPr>
      <w:r>
        <w:rPr>
          <w:rFonts w:ascii="Calibri" w:cs="Calibri" w:eastAsia="Calibri" w:hAnsi="Calibri"/>
          <w:b/>
          <w:bCs/>
          <w:sz w:val="24"/>
          <w:szCs w:val="24"/>
        </w:rPr>
        <w:t xml:space="preserve">4. How fast must I act (the 30-day assessment and notification clocks)</w:t>
      </w:r>
    </w:p>
    <w:p>
      <w:pPr>
        <w:spacing w:after="120"/>
      </w:pPr>
      <w:r>
        <w:rPr>
          <w:rFonts w:ascii="Calibri" w:cs="Calibri" w:eastAsia="Calibri" w:hAnsi="Calibri"/>
          <w:i/>
          <w:iCs/>
          <w:color w:val="666666"/>
          <w:sz w:val="18"/>
          <w:szCs w:val="18"/>
        </w:rPr>
        <w:t xml:space="preserve">Drafted to answer: How fast must I act (the 30-day assessment and notification clocks)?</w:t>
      </w:r>
    </w:p>
    <w:p>
      <w:pPr>
        <w:spacing w:after="160"/>
      </w:pPr>
      <w:r>
        <w:rPr>
          <w:rFonts w:ascii="Calibri" w:cs="Calibri" w:eastAsia="Calibri" w:hAnsi="Calibri"/>
          <w:sz w:val="22"/>
          <w:szCs w:val="22"/>
        </w:rPr>
        <w:t xml:space="preserve">Suspected data breaches must be reported immediately. The Breach Lead must record when the organisation first became aware of the grounds or information causing suspicion and commence a reasonable and expeditious assessment. Where the NDB scheme applies, all reasonable steps must be taken to complete the assessment within 30 calendar days after that day. Thirty days is the maximum assessment period, not permission to delay. Once there are reasonable grounds to believe an eligible data breach occurred, required notifications must be made as soon as practicable.</w:t>
      </w:r>
    </w:p>
    <w:p>
      <w:pPr>
        <w:pStyle w:val="Heading2"/>
        <w:spacing w:before="280"/>
      </w:pPr>
      <w:r>
        <w:rPr>
          <w:rFonts w:ascii="Calibri" w:cs="Calibri" w:eastAsia="Calibri" w:hAnsi="Calibri"/>
          <w:b/>
          <w:bCs/>
          <w:sz w:val="24"/>
          <w:szCs w:val="24"/>
        </w:rPr>
        <w:t xml:space="preserve">5. Who do I have to tell, and how</w:t>
      </w:r>
    </w:p>
    <w:p>
      <w:pPr>
        <w:spacing w:after="120"/>
      </w:pPr>
      <w:r>
        <w:rPr>
          <w:rFonts w:ascii="Calibri" w:cs="Calibri" w:eastAsia="Calibri" w:hAnsi="Calibri"/>
          <w:i/>
          <w:iCs/>
          <w:color w:val="666666"/>
          <w:sz w:val="18"/>
          <w:szCs w:val="18"/>
        </w:rPr>
        <w:t xml:space="preserve">Drafted to answer: Who do I have to tell, and how?</w:t>
      </w:r>
    </w:p>
    <w:p>
      <w:pPr>
        <w:spacing w:after="160"/>
      </w:pPr>
      <w:r>
        <w:rPr>
          <w:rFonts w:ascii="Calibri" w:cs="Calibri" w:eastAsia="Calibri" w:hAnsi="Calibri"/>
          <w:sz w:val="22"/>
          <w:szCs w:val="22"/>
        </w:rPr>
        <w:t xml:space="preserve">When an eligible data breach is established, the organisation must provide the required statement to the OAIC and notify individuals at likely risk of serious harm as soon as practicable. The notification must state the organisation’s name and contact details, describe the breach, identify the kinds of information involved and recommend practical steps individuals should take. Communications must be accurate, in plain English, coordinated across affected entities and approved without delaying the statutory notification.</w:t>
      </w:r>
    </w:p>
    <w:p>
      <w:pPr>
        <w:pStyle w:val="Heading2"/>
        <w:spacing w:before="280"/>
      </w:pPr>
      <w:r>
        <w:rPr>
          <w:rFonts w:ascii="Calibri" w:cs="Calibri" w:eastAsia="Calibri" w:hAnsi="Calibri"/>
          <w:b/>
          <w:bCs/>
          <w:sz w:val="24"/>
          <w:szCs w:val="24"/>
        </w:rPr>
        <w:t xml:space="preserve">6. How does it interact with the Cyber Security Act and other reports</w:t>
      </w:r>
    </w:p>
    <w:p>
      <w:pPr>
        <w:spacing w:after="120"/>
      </w:pPr>
      <w:r>
        <w:rPr>
          <w:rFonts w:ascii="Calibri" w:cs="Calibri" w:eastAsia="Calibri" w:hAnsi="Calibri"/>
          <w:i/>
          <w:iCs/>
          <w:color w:val="666666"/>
          <w:sz w:val="18"/>
          <w:szCs w:val="18"/>
        </w:rPr>
        <w:t xml:space="preserve">Drafted to answer: How does it interact with the Cyber Security Act and other reports?</w:t>
      </w:r>
    </w:p>
    <w:p>
      <w:pPr>
        <w:spacing w:after="160"/>
      </w:pPr>
      <w:r>
        <w:rPr>
          <w:rFonts w:ascii="Calibri" w:cs="Calibri" w:eastAsia="Calibri" w:hAnsi="Calibri"/>
          <w:sz w:val="22"/>
          <w:szCs w:val="22"/>
        </w:rPr>
        <w:t xml:space="preserve">The Breach Lead must maintain a reporting matrix for every incident. The matrix must separately assess the Privacy Act NDB scheme, the Cyber Security Act ransomware payment reporting obligation, the Security of Critical Infrastructure Act, sector-regulator rules, law-enforcement and cyber.gov.au reporting, cyber-insurance notice conditions, contracts and any overseas law. If a covered ransomware payment is made, or the organisation becomes aware that one was made on its behalf, the required report must be submitted within 72 hours while all other assessments continue.</w:t>
      </w:r>
    </w:p>
    <w:p>
      <w:pPr>
        <w:pStyle w:val="Heading2"/>
        <w:spacing w:before="280"/>
      </w:pPr>
      <w:r>
        <w:rPr>
          <w:rFonts w:ascii="Calibri" w:cs="Calibri" w:eastAsia="Calibri" w:hAnsi="Calibri"/>
          <w:b/>
          <w:bCs/>
          <w:sz w:val="24"/>
          <w:szCs w:val="24"/>
        </w:rPr>
        <w:t xml:space="preserve">7. Plan Owner: [role]</w:t>
      </w:r>
    </w:p>
    <w:p>
      <w:pPr>
        <w:spacing w:after="120"/>
      </w:pPr>
      <w:r>
        <w:rPr>
          <w:rFonts w:ascii="Calibri" w:cs="Calibri" w:eastAsia="Calibri" w:hAnsi="Calibri"/>
          <w:i/>
          <w:iCs/>
          <w:color w:val="666666"/>
          <w:sz w:val="18"/>
          <w:szCs w:val="18"/>
        </w:rPr>
        <w:t xml:space="preserve">Drafted to answer: Who owns it, and what must the plan contain?</w:t>
      </w:r>
    </w:p>
    <w:p>
      <w:pPr>
        <w:spacing w:after="160"/>
      </w:pPr>
      <w:r>
        <w:rPr>
          <w:rFonts w:ascii="Calibri" w:cs="Calibri" w:eastAsia="Calibri" w:hAnsi="Calibri"/>
          <w:sz w:val="22"/>
          <w:szCs w:val="22"/>
        </w:rPr>
        <w:t xml:space="preserve">Accountable Executive: </w:t>
      </w:r>
      <w:r>
        <w:rPr>
          <w:rFonts w:ascii="Calibri" w:cs="Calibri" w:eastAsia="Calibri" w:hAnsi="Calibri"/>
          <w:sz w:val="22"/>
          <w:szCs w:val="22"/>
          <w:highlight w:val="yellow"/>
          <w:highlightCs w:val="yellow"/>
        </w:rPr>
        <w:t xml:space="preserve">[role]</w:t>
      </w:r>
      <w:r>
        <w:rPr>
          <w:rFonts w:ascii="Calibri" w:cs="Calibri" w:eastAsia="Calibri" w:hAnsi="Calibri"/>
          <w:sz w:val="22"/>
          <w:szCs w:val="22"/>
        </w:rPr>
        <w:t xml:space="preserve">. The Plan Owner may activate the response team, direct containment and evidence preservation, obtain urgent professional advice, commence the NDB assessment and escalate notification decisions. The plan must identify primary and alternate contacts, decision authorities, after-hours escalation, assessment and notification procedures, communication templates, external advisers, recordkeeping requirements and post-breach review actions. Contact details and authorities must be kept current.</w:t>
      </w:r>
    </w:p>
    <w:p>
      <w:pPr>
        <w:pStyle w:val="Heading2"/>
        <w:spacing w:before="280"/>
      </w:pPr>
      <w:r>
        <w:rPr>
          <w:rFonts w:ascii="Calibri" w:cs="Calibri" w:eastAsia="Calibri" w:hAnsi="Calibri"/>
          <w:b/>
          <w:bCs/>
          <w:sz w:val="24"/>
          <w:szCs w:val="24"/>
        </w:rPr>
        <w:t xml:space="preserve">8. What evidence proves the plan works</w:t>
      </w:r>
    </w:p>
    <w:p>
      <w:pPr>
        <w:spacing w:after="120"/>
      </w:pPr>
      <w:r>
        <w:rPr>
          <w:rFonts w:ascii="Calibri" w:cs="Calibri" w:eastAsia="Calibri" w:hAnsi="Calibri"/>
          <w:i/>
          <w:iCs/>
          <w:color w:val="666666"/>
          <w:sz w:val="18"/>
          <w:szCs w:val="18"/>
        </w:rPr>
        <w:t xml:space="preserve">Drafted to answer: What evidence proves the plan works?</w:t>
      </w:r>
    </w:p>
    <w:p>
      <w:pPr>
        <w:spacing w:after="160"/>
      </w:pPr>
      <w:r>
        <w:rPr>
          <w:rFonts w:ascii="Calibri" w:cs="Calibri" w:eastAsia="Calibri" w:hAnsi="Calibri"/>
          <w:sz w:val="22"/>
          <w:szCs w:val="22"/>
        </w:rPr>
        <w:t xml:space="preserve">The organisation must retain a complete record of each suspected or confirmed data breach, including the initial report and awareness time, containment actions, evidence preserved, affected information and individuals, serious-harm assessment, remedial action, decisions and approvals, external advice, regulatory and individual notifications, communications, costs, root-cause review and corrective actions. Exercises must record the scenario, participants, decisions, delays, control gaps, assigned owners and completion of remediation.</w:t>
      </w:r>
    </w:p>
    <w:p>
      <w:pPr>
        <w:pStyle w:val="Heading2"/>
        <w:spacing w:before="280"/>
      </w:pPr>
      <w:r>
        <w:rPr>
          <w:rFonts w:ascii="Calibri" w:cs="Calibri" w:eastAsia="Calibri" w:hAnsi="Calibri"/>
          <w:b/>
          <w:bCs/>
          <w:sz w:val="24"/>
          <w:szCs w:val="24"/>
        </w:rPr>
        <w:t xml:space="preserve">9. The common mistakes and misconceptions</w:t>
      </w:r>
    </w:p>
    <w:p>
      <w:pPr>
        <w:spacing w:after="120"/>
      </w:pPr>
      <w:r>
        <w:rPr>
          <w:rFonts w:ascii="Calibri" w:cs="Calibri" w:eastAsia="Calibri" w:hAnsi="Calibri"/>
          <w:i/>
          <w:iCs/>
          <w:color w:val="666666"/>
          <w:sz w:val="18"/>
          <w:szCs w:val="18"/>
        </w:rPr>
        <w:t xml:space="preserve">Drafted to answer: The common mistakes and misconceptions?</w:t>
      </w:r>
    </w:p>
    <w:p>
      <w:pPr>
        <w:spacing w:after="160"/>
      </w:pPr>
      <w:r>
        <w:rPr>
          <w:rFonts w:ascii="Calibri" w:cs="Calibri" w:eastAsia="Calibri" w:hAnsi="Calibri"/>
          <w:sz w:val="22"/>
          <w:szCs w:val="22"/>
        </w:rPr>
        <w:t xml:space="preserve">Thirty days is not a waiting period, proof of actual misuse is not required before serious harm can be likely, and an attempted recall or deletion request is not treated as successful remediation unless its effectiveness is established. Containment must preserve relevant evidence. Staff will not be disciplined merely for promptly reporting an honest mistake; concealment, delay, deliberate misuse or failure to cooperate may be handled separately under applicable workplace policies and law.</w:t>
      </w:r>
    </w:p>
    <w:p>
      <w:pPr>
        <w:pStyle w:val="Heading1"/>
        <w:spacing w:before="320"/>
      </w:pPr>
      <w:r>
        <w:rPr>
          <w:rFonts w:ascii="Calibri" w:cs="Calibri" w:eastAsia="Calibri" w:hAnsi="Calibri"/>
          <w:b/>
          <w:bCs/>
          <w:sz w:val="28"/>
          <w:szCs w:val="28"/>
        </w:rPr>
        <w:t xml:space="preserve">Schedule: obligations this policy supports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2340"/>
        <w:gridCol w:w="3900"/>
      </w:tblGrid>
      <w:tr>
        <w:tc>
          <w:tcPr>
            <w:tcW w:type="dxa" w:w="3120"/>
            <w:shd w:fill="F4F5F7" w:val="clear"/>
            <w:tcMar>
              <w:top w:type="dxa" w:w="80"/>
              <w:left w:type="dxa" w:w="120"/>
              <w:bottom w:type="dxa" w:w="80"/>
              <w:right w:type="dxa" w:w="120"/>
            </w:tcMar>
          </w:tcPr>
          <w:p>
            <w:r>
              <w:rPr>
                <w:rFonts w:ascii="Calibri" w:cs="Calibri" w:eastAsia="Calibri" w:hAnsi="Calibri"/>
                <w:b/>
                <w:bCs/>
                <w:sz w:val="20"/>
                <w:szCs w:val="20"/>
              </w:rPr>
              <w:t xml:space="preserve">Obligation</w:t>
            </w:r>
          </w:p>
        </w:tc>
        <w:tc>
          <w:tcPr>
            <w:tcW w:type="dxa" w:w="2340"/>
            <w:shd w:fill="F4F5F7" w:val="clear"/>
            <w:tcMar>
              <w:top w:type="dxa" w:w="80"/>
              <w:left w:type="dxa" w:w="120"/>
              <w:bottom w:type="dxa" w:w="80"/>
              <w:right w:type="dxa" w:w="120"/>
            </w:tcMar>
          </w:tcPr>
          <w:p>
            <w:r>
              <w:rPr>
                <w:rFonts w:ascii="Calibri" w:cs="Calibri" w:eastAsia="Calibri" w:hAnsi="Calibri"/>
                <w:b/>
                <w:bCs/>
                <w:sz w:val="20"/>
                <w:szCs w:val="20"/>
              </w:rPr>
              <w:t xml:space="preserve">Regulator</w:t>
            </w:r>
          </w:p>
        </w:tc>
        <w:tc>
          <w:tcPr>
            <w:tcW w:type="dxa" w:w="3900"/>
            <w:shd w:fill="F4F5F7" w:val="clear"/>
            <w:tcMar>
              <w:top w:type="dxa" w:w="80"/>
              <w:left w:type="dxa" w:w="120"/>
              <w:bottom w:type="dxa" w:w="80"/>
              <w:right w:type="dxa" w:w="120"/>
            </w:tcMar>
          </w:tcPr>
          <w:p>
            <w:r>
              <w:rPr>
                <w:rFonts w:ascii="Calibri" w:cs="Calibri" w:eastAsia="Calibri" w:hAnsi="Calibri"/>
                <w:b/>
                <w:bCs/>
                <w:sz w:val="20"/>
                <w:szCs w:val="20"/>
              </w:rPr>
              <w:t xml:space="preserve">Timeframe</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NDB suspected-breach assessment</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Office of the Australian Information Commissioner</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Take all reasonable steps to complete a reasonable and expeditious assessment within 30 calendar days after the day the entity became aware of the grounds or information causing the suspicion.</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NDB statement to the Commissioner</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Office of the Australian Information Commissioner</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As soon as practicable after forming the reasonable belief.</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NDB notification to individuals</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Office of the Australian Information Commissioner</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As soon as practicable; notify under an available statutory option or, if direct notification is impracticable, publish the statement and take reasonable steps to publicise it.</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Cyber Security Act ransomware payment report</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Department of Home Affairs and Australian Signals Directorate as the designated Commonwealth body unless otherwise prescribed</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Within 72 hours of making the ransomware payment or becoming aware it was made, whichever applies.</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APP 11 security of personal information</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Office of the Australian Information Commissioner</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Ongoing while the information is held, including reasonable preparation for and response to data breaches.</w:t>
            </w:r>
          </w:p>
        </w:tc>
      </w:tr>
      <w:tr>
        <w:tc>
          <w:tcPr>
            <w:tcW w:type="dxa" w:w="3120"/>
            <w:tcMar>
              <w:top w:type="dxa" w:w="80"/>
              <w:left w:type="dxa" w:w="120"/>
              <w:bottom w:type="dxa" w:w="80"/>
              <w:right w:type="dxa" w:w="120"/>
            </w:tcMar>
          </w:tcPr>
          <w:p>
            <w:r>
              <w:rPr>
                <w:rFonts w:ascii="Calibri" w:cs="Calibri" w:eastAsia="Calibri" w:hAnsi="Calibri"/>
                <w:b w:val="false"/>
                <w:bCs w:val="false"/>
                <w:sz w:val="20"/>
                <w:szCs w:val="20"/>
              </w:rPr>
              <w:t xml:space="preserve">ISM annual cyber incident response exercise</w:t>
            </w:r>
          </w:p>
        </w:tc>
        <w:tc>
          <w:tcPr>
            <w:tcW w:type="dxa" w:w="2340"/>
            <w:tcMar>
              <w:top w:type="dxa" w:w="80"/>
              <w:left w:type="dxa" w:w="120"/>
              <w:bottom w:type="dxa" w:w="80"/>
              <w:right w:type="dxa" w:w="120"/>
            </w:tcMar>
          </w:tcPr>
          <w:p>
            <w:r>
              <w:rPr>
                <w:rFonts w:ascii="Calibri" w:cs="Calibri" w:eastAsia="Calibri" w:hAnsi="Calibri"/>
                <w:b w:val="false"/>
                <w:bCs w:val="false"/>
                <w:sz w:val="20"/>
                <w:szCs w:val="20"/>
              </w:rPr>
              <w:t xml:space="preserve">Australian Signals Directorate, Australian Cyber Security Centre</w:t>
            </w:r>
          </w:p>
        </w:tc>
        <w:tc>
          <w:tcPr>
            <w:tcW w:type="dxa" w:w="3900"/>
            <w:tcMar>
              <w:top w:type="dxa" w:w="80"/>
              <w:left w:type="dxa" w:w="120"/>
              <w:bottom w:type="dxa" w:w="80"/>
              <w:right w:type="dxa" w:w="120"/>
            </w:tcMar>
          </w:tcPr>
          <w:p>
            <w:r>
              <w:rPr>
                <w:rFonts w:ascii="Calibri" w:cs="Calibri" w:eastAsia="Calibri" w:hAnsi="Calibri"/>
                <w:b w:val="false"/>
                <w:bCs w:val="false"/>
                <w:sz w:val="20"/>
                <w:szCs w:val="20"/>
              </w:rPr>
              <w:t xml:space="preserve">At least annually.</w:t>
            </w:r>
          </w:p>
        </w:tc>
      </w:tr>
    </w:tbl>
    <w:p>
      <w:pPr>
        <w:pStyle w:val="Heading1"/>
        <w:spacing w:before="320"/>
      </w:pPr>
      <w:r>
        <w:rPr>
          <w:rFonts w:ascii="Calibri" w:cs="Calibri" w:eastAsia="Calibri" w:hAnsi="Calibri"/>
          <w:b/>
          <w:bCs/>
          <w:sz w:val="28"/>
          <w:szCs w:val="28"/>
        </w:rPr>
        <w:t xml:space="preserve">A note on scope</w:t>
      </w:r>
    </w:p>
    <w:p>
      <w:r>
        <w:rPr>
          <w:rFonts w:ascii="Calibri" w:cs="Calibri" w:eastAsia="Calibri" w:hAnsi="Calibri"/>
          <w:sz w:val="22"/>
          <w:szCs w:val="22"/>
        </w:rPr>
        <w:t xml:space="preserve">This template is a professionally drafted starting point and education, not legal advice and not a guarantee of compliance. Your obligations depend on your industry, your contracts and your data. Have a qualified adviser review the finished policy before you rely on it.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Breach Response Plan — Australia template</dc:title>
  <dc:creator>SecurityPolicy.com.au</dc:creator>
  <dc:description>How Australian businesses contain, assess and notify data breaches under the NDB scheme, including the 30-day and ransomware reporting clocks.</dc:description>
  <cp:lastModifiedBy>Un-named</cp:lastModifiedBy>
  <cp:revision>1</cp:revision>
  <dcterms:created xsi:type="dcterms:W3CDTF">2026-07-13T14:56:33.832Z</dcterms:created>
  <dcterms:modified xsi:type="dcterms:W3CDTF">2026-07-13T14:56:33.832Z</dcterms:modified>
</cp:coreProperties>
</file>

<file path=docProps/custom.xml><?xml version="1.0" encoding="utf-8"?>
<Properties xmlns="http://schemas.openxmlformats.org/officeDocument/2006/custom-properties" xmlns:vt="http://schemas.openxmlformats.org/officeDocument/2006/docPropsVTypes"/>
</file>