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pPr>
      <w:r>
        <w:rPr>
          <w:rFonts w:ascii="Calibri" w:cs="Calibri" w:eastAsia="Calibri" w:hAnsi="Calibri"/>
          <w:b/>
          <w:bCs/>
          <w:sz w:val="52"/>
          <w:szCs w:val="52"/>
        </w:rPr>
        <w:t xml:space="preserve">Access Control Policy</w:t>
      </w:r>
    </w:p>
    <w:p>
      <w:pPr>
        <w:spacing w:after="240"/>
      </w:pPr>
      <w:r>
        <w:rPr>
          <w:rFonts w:ascii="Calibri" w:cs="Calibri" w:eastAsia="Calibri" w:hAnsi="Calibri"/>
          <w:color w:val="666666"/>
          <w:sz w:val="20"/>
          <w:szCs w:val="20"/>
        </w:rPr>
        <w:t xml:space="preserve">Australia edition · editable template · SecurityPolicy.com.au</w:t>
      </w:r>
    </w:p>
    <w:p>
      <w:pPr>
        <w:spacing w:after="240"/>
      </w:pPr>
      <w:r>
        <w:rPr>
          <w:rFonts w:ascii="Calibri" w:cs="Calibri" w:eastAsia="Calibri" w:hAnsi="Calibri"/>
          <w:sz w:val="22"/>
          <w:szCs w:val="22"/>
        </w:rPr>
        <w:t xml:space="preserve">This policy is adopted by </w:t>
      </w:r>
      <w:r>
        <w:rPr>
          <w:rFonts w:ascii="Calibri" w:cs="Calibri" w:eastAsia="Calibri" w:hAnsi="Calibri"/>
          <w:sz w:val="22"/>
          <w:szCs w:val="22"/>
          <w:highlight w:val="yellow"/>
          <w:highlightCs w:val="yellow"/>
        </w:rPr>
        <w:t xml:space="preserve">[organisation name]</w:t>
      </w:r>
      <w:r>
        <w:rPr>
          <w:rFonts w:ascii="Calibri" w:cs="Calibri" w:eastAsia="Calibri" w:hAnsi="Calibri"/>
          <w:sz w:val="22"/>
          <w:szCs w:val="22"/>
        </w:rPr>
        <w:t xml:space="preserve"> ("we", "us", "our").</w:t>
      </w:r>
    </w:p>
    <w:p>
      <w:pPr>
        <w:pStyle w:val="Heading1"/>
      </w:pPr>
      <w:r>
        <w:rPr>
          <w:rFonts w:ascii="Calibri" w:cs="Calibri" w:eastAsia="Calibri" w:hAnsi="Calibri"/>
          <w:b/>
          <w:bCs/>
          <w:sz w:val="28"/>
          <w:szCs w:val="28"/>
        </w:rPr>
        <w:t xml:space="preserve">Document control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Policy owner</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[name and role]</w:t>
            </w:r>
          </w:p>
        </w:tc>
      </w:tr>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Approved by</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[owner, chief executive, board or delegated executive]</w:t>
            </w:r>
          </w:p>
        </w:tc>
      </w:tr>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Approval date</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[date]</w:t>
            </w:r>
          </w:p>
        </w:tc>
      </w:tr>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Next review</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[date, normally within 12 months]</w:t>
            </w:r>
          </w:p>
        </w:tc>
      </w:tr>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Version</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[1.0]</w:t>
            </w:r>
          </w:p>
        </w:tc>
      </w:tr>
    </w:tbl>
    <w:p>
      <w:pPr>
        <w:pStyle w:val="Heading1"/>
        <w:spacing w:before="320"/>
      </w:pPr>
      <w:r>
        <w:rPr>
          <w:rFonts w:ascii="Calibri" w:cs="Calibri" w:eastAsia="Calibri" w:hAnsi="Calibri"/>
          <w:b/>
          <w:bCs/>
          <w:sz w:val="28"/>
          <w:szCs w:val="28"/>
        </w:rPr>
        <w:t xml:space="preserve">How to complete this template</w:t>
      </w:r>
    </w:p>
    <w:p>
      <w:pPr>
        <w:spacing w:after="240"/>
      </w:pPr>
      <w:r>
        <w:rPr>
          <w:rFonts w:ascii="Calibri" w:cs="Calibri" w:eastAsia="Calibri" w:hAnsi="Calibri"/>
          <w:sz w:val="22"/>
          <w:szCs w:val="22"/>
        </w:rPr>
        <w:t xml:space="preserve">Work top to bottom and fill every yellow field. Delete any clause that does not reflect how your business actually operates — an auditor will ask you to demonstrate each claim. The full plain-English guide for every clause, with sources, lives at securitypolicy.com.au.</w:t>
      </w:r>
    </w:p>
    <w:p>
      <w:pPr>
        <w:pStyle w:val="Heading1"/>
      </w:pPr>
      <w:r>
        <w:rPr>
          <w:rFonts w:ascii="Calibri" w:cs="Calibri" w:eastAsia="Calibri" w:hAnsi="Calibri"/>
          <w:b/>
          <w:bCs/>
          <w:sz w:val="28"/>
          <w:szCs w:val="28"/>
        </w:rPr>
        <w:t xml:space="preserve">Policy</w:t>
      </w:r>
    </w:p>
    <w:p>
      <w:pPr>
        <w:pStyle w:val="Heading2"/>
        <w:spacing w:before="280"/>
      </w:pPr>
      <w:r>
        <w:rPr>
          <w:rFonts w:ascii="Calibri" w:cs="Calibri" w:eastAsia="Calibri" w:hAnsi="Calibri"/>
          <w:b/>
          <w:bCs/>
          <w:sz w:val="24"/>
          <w:szCs w:val="24"/>
        </w:rPr>
        <w:t xml:space="preserve">1. What is an access control policy, and does my business actually need one</w:t>
      </w:r>
    </w:p>
    <w:p>
      <w:pPr>
        <w:spacing w:after="120"/>
      </w:pPr>
      <w:r>
        <w:rPr>
          <w:rFonts w:ascii="Calibri" w:cs="Calibri" w:eastAsia="Calibri" w:hAnsi="Calibri"/>
          <w:i/>
          <w:iCs/>
          <w:color w:val="666666"/>
          <w:sz w:val="18"/>
          <w:szCs w:val="18"/>
        </w:rPr>
        <w:t xml:space="preserve">Drafted to answer: What is an access control policy, and does my business actually need one?</w:t>
      </w:r>
    </w:p>
    <w:p>
      <w:pPr>
        <w:spacing w:after="160"/>
      </w:pPr>
      <w:r>
        <w:rPr>
          <w:rFonts w:ascii="Calibri" w:cs="Calibri" w:eastAsia="Calibri" w:hAnsi="Calibri"/>
          <w:sz w:val="22"/>
          <w:szCs w:val="22"/>
        </w:rPr>
        <w:t xml:space="preserve">Access to the organisation’s systems, applications, accounts, networks, information and data repositories must be based on a verified identity, a documented business need and the minimum permissions required for the person or service to perform authorised duties. Access must be approved before it is granted, reviewed while it remains active, changed when duties change and removed promptly when the business need ends.</w:t>
      </w:r>
    </w:p>
    <w:p>
      <w:pPr>
        <w:pStyle w:val="Heading2"/>
        <w:spacing w:before="280"/>
      </w:pPr>
      <w:r>
        <w:rPr>
          <w:rFonts w:ascii="Calibri" w:cs="Calibri" w:eastAsia="Calibri" w:hAnsi="Calibri"/>
          <w:b/>
          <w:bCs/>
          <w:sz w:val="24"/>
          <w:szCs w:val="24"/>
        </w:rPr>
        <w:t xml:space="preserve">2. What must it contain — the non-negotiable sections</w:t>
      </w:r>
    </w:p>
    <w:p>
      <w:pPr>
        <w:spacing w:after="120"/>
      </w:pPr>
      <w:r>
        <w:rPr>
          <w:rFonts w:ascii="Calibri" w:cs="Calibri" w:eastAsia="Calibri" w:hAnsi="Calibri"/>
          <w:i/>
          <w:iCs/>
          <w:color w:val="666666"/>
          <w:sz w:val="18"/>
          <w:szCs w:val="18"/>
        </w:rPr>
        <w:t xml:space="preserve">Drafted to answer: What must it contain — the non-negotiable sections?</w:t>
      </w:r>
    </w:p>
    <w:p>
      <w:pPr>
        <w:spacing w:after="160"/>
      </w:pPr>
      <w:r>
        <w:rPr>
          <w:rFonts w:ascii="Calibri" w:cs="Calibri" w:eastAsia="Calibri" w:hAnsi="Calibri"/>
          <w:sz w:val="22"/>
          <w:szCs w:val="22"/>
        </w:rPr>
        <w:t xml:space="preserve">Every user must have a unique identity unless a shared account is technically unavoidable and expressly approved. Each access request must identify the user or service, the system and information involved, the requested role or permissions, the business reason, the approver, the start date and any expiry date. The organisation must retain a record of the access granted, later changes, review decisions, exceptions and withdrawal.</w:t>
      </w:r>
    </w:p>
    <w:p>
      <w:pPr>
        <w:pStyle w:val="Heading2"/>
        <w:spacing w:before="280"/>
      </w:pPr>
      <w:r>
        <w:rPr>
          <w:rFonts w:ascii="Calibri" w:cs="Calibri" w:eastAsia="Calibri" w:hAnsi="Calibri"/>
          <w:b/>
          <w:bCs/>
          <w:sz w:val="24"/>
          <w:szCs w:val="24"/>
        </w:rPr>
        <w:t xml:space="preserve">3. What do MFA and passphrase rules actually require now</w:t>
      </w:r>
    </w:p>
    <w:p>
      <w:pPr>
        <w:spacing w:after="120"/>
      </w:pPr>
      <w:r>
        <w:rPr>
          <w:rFonts w:ascii="Calibri" w:cs="Calibri" w:eastAsia="Calibri" w:hAnsi="Calibri"/>
          <w:i/>
          <w:iCs/>
          <w:color w:val="666666"/>
          <w:sz w:val="18"/>
          <w:szCs w:val="18"/>
        </w:rPr>
        <w:t xml:space="preserve">Drafted to answer: What do MFA and passphrase rules actually require now?</w:t>
      </w:r>
    </w:p>
    <w:p>
      <w:pPr>
        <w:spacing w:after="160"/>
      </w:pPr>
      <w:r>
        <w:rPr>
          <w:rFonts w:ascii="Calibri" w:cs="Calibri" w:eastAsia="Calibri" w:hAnsi="Calibri"/>
          <w:sz w:val="22"/>
          <w:szCs w:val="22"/>
        </w:rPr>
        <w:t xml:space="preserve">Multi-factor authentication must be enabled for privileged accounts, remote access and all other systems or services designated by the organisation. Phishing-resistant MFA must be used where supported and proportionate to the risk, with weaker methods treated as transitional or fallback controls. User passphrases must be long, unpredictable and unique and must not be shared or reused. Routine 90-day changes are not required unless a system, contract or documented risk requires them; credentials must be changed immediately when compromised, suspected of compromise, exposed in clear text or otherwise affected by a defined security event.</w:t>
      </w:r>
    </w:p>
    <w:p>
      <w:pPr>
        <w:pStyle w:val="Heading2"/>
        <w:spacing w:before="280"/>
      </w:pPr>
      <w:r>
        <w:rPr>
          <w:rFonts w:ascii="Calibri" w:cs="Calibri" w:eastAsia="Calibri" w:hAnsi="Calibri"/>
          <w:b/>
          <w:bCs/>
          <w:sz w:val="24"/>
          <w:szCs w:val="24"/>
        </w:rPr>
        <w:t xml:space="preserve">4. How do least privilege and admin/privileged access work</w:t>
      </w:r>
    </w:p>
    <w:p>
      <w:pPr>
        <w:spacing w:after="120"/>
      </w:pPr>
      <w:r>
        <w:rPr>
          <w:rFonts w:ascii="Calibri" w:cs="Calibri" w:eastAsia="Calibri" w:hAnsi="Calibri"/>
          <w:i/>
          <w:iCs/>
          <w:color w:val="666666"/>
          <w:sz w:val="18"/>
          <w:szCs w:val="18"/>
        </w:rPr>
        <w:t xml:space="preserve">Drafted to answer: How do least privilege and admin/privileged access work?</w:t>
      </w:r>
    </w:p>
    <w:p>
      <w:pPr>
        <w:spacing w:after="160"/>
      </w:pPr>
      <w:r>
        <w:rPr>
          <w:rFonts w:ascii="Calibri" w:cs="Calibri" w:eastAsia="Calibri" w:hAnsi="Calibri"/>
          <w:sz w:val="22"/>
          <w:szCs w:val="22"/>
        </w:rPr>
        <w:t xml:space="preserve">Users and services must receive only the minimum access required for authorised duties. Privileged users must use a separate named privileged account solely for administrative work and a separate unprivileged account for email, web browsing and routine activity. Privileged access must be approved, protected by MFA, logged, reviewed and removed when no longer required. Permanent local administrator rights and shared administrator accounts are prohibited unless a documented exception is approved.</w:t>
      </w:r>
    </w:p>
    <w:p>
      <w:pPr>
        <w:pStyle w:val="Heading2"/>
        <w:spacing w:before="280"/>
      </w:pPr>
      <w:r>
        <w:rPr>
          <w:rFonts w:ascii="Calibri" w:cs="Calibri" w:eastAsia="Calibri" w:hAnsi="Calibri"/>
          <w:b/>
          <w:bCs/>
          <w:sz w:val="24"/>
          <w:szCs w:val="24"/>
        </w:rPr>
        <w:t xml:space="preserve">5. The Policy Owner is [role]</w:t>
      </w:r>
    </w:p>
    <w:p>
      <w:pPr>
        <w:spacing w:after="120"/>
      </w:pPr>
      <w:r>
        <w:rPr>
          <w:rFonts w:ascii="Calibri" w:cs="Calibri" w:eastAsia="Calibri" w:hAnsi="Calibri"/>
          <w:i/>
          <w:iCs/>
          <w:color w:val="666666"/>
          <w:sz w:val="18"/>
          <w:szCs w:val="18"/>
        </w:rPr>
        <w:t xml:space="preserve">Drafted to answer: Who owns it, and who approves access?</w:t>
      </w:r>
    </w:p>
    <w:p>
      <w:pPr>
        <w:spacing w:after="160"/>
      </w:pPr>
      <w:r>
        <w:rPr>
          <w:rFonts w:ascii="Calibri" w:cs="Calibri" w:eastAsia="Calibri" w:hAnsi="Calibri"/>
          <w:sz w:val="22"/>
          <w:szCs w:val="22"/>
        </w:rPr>
        <w:t xml:space="preserve">The board, executive or business owner approves this policy. Access to a system or information set must be approved by the relevant manager, system owner or data owner based on a documented business need. IT, the service desk or an identity administrator may provision approved access but must not approve access solely because they administer the technology. Conflicts of interest and self-approval are prohibited unless an emergency process expressly permits them and records a later independent review.</w:t>
      </w:r>
    </w:p>
    <w:p>
      <w:pPr>
        <w:pStyle w:val="Heading2"/>
        <w:spacing w:before="280"/>
      </w:pPr>
      <w:r>
        <w:rPr>
          <w:rFonts w:ascii="Calibri" w:cs="Calibri" w:eastAsia="Calibri" w:hAnsi="Calibri"/>
          <w:b/>
          <w:bCs/>
          <w:sz w:val="24"/>
          <w:szCs w:val="24"/>
        </w:rPr>
        <w:t xml:space="preserve">6. How do joiner-mover-leaver and access reviews work in practice</w:t>
      </w:r>
    </w:p>
    <w:p>
      <w:pPr>
        <w:spacing w:after="120"/>
      </w:pPr>
      <w:r>
        <w:rPr>
          <w:rFonts w:ascii="Calibri" w:cs="Calibri" w:eastAsia="Calibri" w:hAnsi="Calibri"/>
          <w:i/>
          <w:iCs/>
          <w:color w:val="666666"/>
          <w:sz w:val="18"/>
          <w:szCs w:val="18"/>
        </w:rPr>
        <w:t xml:space="preserve">Drafted to answer: How do joiner-mover-leaver and access reviews work in practice?</w:t>
      </w:r>
    </w:p>
    <w:p>
      <w:pPr>
        <w:spacing w:after="160"/>
      </w:pPr>
      <w:r>
        <w:rPr>
          <w:rFonts w:ascii="Calibri" w:cs="Calibri" w:eastAsia="Calibri" w:hAnsi="Calibri"/>
          <w:sz w:val="22"/>
          <w:szCs w:val="22"/>
        </w:rPr>
        <w:t xml:space="preserve">New access must be based on an approved role or specific request before the user starts. A change of duties must trigger review and removal of access that is no longer required, not only the addition of new access. When employment or engagement ends, access must be removed or suspended on the same day the legitimate requirement ends, or immediately where risk requires it. Temporary, contractor, vendor and emergency access must have an owner and an expiry or formal revalidation date.</w:t>
      </w:r>
    </w:p>
    <w:p>
      <w:pPr>
        <w:pStyle w:val="Heading2"/>
        <w:spacing w:before="280"/>
      </w:pPr>
      <w:r>
        <w:rPr>
          <w:rFonts w:ascii="Calibri" w:cs="Calibri" w:eastAsia="Calibri" w:hAnsi="Calibri"/>
          <w:b/>
          <w:bCs/>
          <w:sz w:val="24"/>
          <w:szCs w:val="24"/>
        </w:rPr>
        <w:t xml:space="preserve">7. What evidence proves it's real to an auditor or insurer</w:t>
      </w:r>
    </w:p>
    <w:p>
      <w:pPr>
        <w:spacing w:after="120"/>
      </w:pPr>
      <w:r>
        <w:rPr>
          <w:rFonts w:ascii="Calibri" w:cs="Calibri" w:eastAsia="Calibri" w:hAnsi="Calibri"/>
          <w:i/>
          <w:iCs/>
          <w:color w:val="666666"/>
          <w:sz w:val="18"/>
          <w:szCs w:val="18"/>
        </w:rPr>
        <w:t xml:space="preserve">Drafted to answer: What evidence proves it's real to an auditor or insurer?</w:t>
      </w:r>
    </w:p>
    <w:p>
      <w:pPr>
        <w:spacing w:after="160"/>
      </w:pPr>
      <w:r>
        <w:rPr>
          <w:rFonts w:ascii="Calibri" w:cs="Calibri" w:eastAsia="Calibri" w:hAnsi="Calibri"/>
          <w:sz w:val="22"/>
          <w:szCs w:val="22"/>
        </w:rPr>
        <w:t xml:space="preserve">The organisation must retain evidence sufficient to show that access controls operate in practice. Evidence must include current policy approval, access and privileged-account inventories, access requests and approvals, provisioning and removal records, MFA and identity configuration, access-review results, exceptions and expiry dates, relevant event logs, and records showing that identified excess or inactive access was remediated.</w:t>
      </w:r>
    </w:p>
    <w:p>
      <w:pPr>
        <w:pStyle w:val="Heading2"/>
        <w:spacing w:before="280"/>
      </w:pPr>
      <w:r>
        <w:rPr>
          <w:rFonts w:ascii="Calibri" w:cs="Calibri" w:eastAsia="Calibri" w:hAnsi="Calibri"/>
          <w:b/>
          <w:bCs/>
          <w:sz w:val="24"/>
          <w:szCs w:val="24"/>
        </w:rPr>
        <w:t xml:space="preserve">8. How does it relate to the Essential Eight and APP 11</w:t>
      </w:r>
    </w:p>
    <w:p>
      <w:pPr>
        <w:spacing w:after="120"/>
      </w:pPr>
      <w:r>
        <w:rPr>
          <w:rFonts w:ascii="Calibri" w:cs="Calibri" w:eastAsia="Calibri" w:hAnsi="Calibri"/>
          <w:i/>
          <w:iCs/>
          <w:color w:val="666666"/>
          <w:sz w:val="18"/>
          <w:szCs w:val="18"/>
        </w:rPr>
        <w:t xml:space="preserve">Drafted to answer: How does it relate to the Essential Eight and APP 11?</w:t>
      </w:r>
    </w:p>
    <w:p>
      <w:pPr>
        <w:spacing w:after="160"/>
      </w:pPr>
      <w:r>
        <w:rPr>
          <w:rFonts w:ascii="Calibri" w:cs="Calibri" w:eastAsia="Calibri" w:hAnsi="Calibri"/>
          <w:sz w:val="22"/>
          <w:szCs w:val="22"/>
        </w:rPr>
        <w:t xml:space="preserve">This policy supports the organisation’s implementation of the Essential Eight multi-factor authentication and restriction of administrative privileges strategies and the organisation’s obligations under APP 11 where the Privacy Act applies. The organisation must not represent that it has achieved an Essential Eight maturity level unless all eight strategies have been assessed against the applicable requirements. Access controls for personal information must form part of layered technical and organisational security measures.</w:t>
      </w:r>
    </w:p>
    <w:p>
      <w:pPr>
        <w:pStyle w:val="Heading2"/>
        <w:spacing w:before="280"/>
      </w:pPr>
      <w:r>
        <w:rPr>
          <w:rFonts w:ascii="Calibri" w:cs="Calibri" w:eastAsia="Calibri" w:hAnsi="Calibri"/>
          <w:b/>
          <w:bCs/>
          <w:sz w:val="24"/>
          <w:szCs w:val="24"/>
        </w:rPr>
        <w:t xml:space="preserve">9. The common gaps and red flags</w:t>
      </w:r>
    </w:p>
    <w:p>
      <w:pPr>
        <w:spacing w:after="120"/>
      </w:pPr>
      <w:r>
        <w:rPr>
          <w:rFonts w:ascii="Calibri" w:cs="Calibri" w:eastAsia="Calibri" w:hAnsi="Calibri"/>
          <w:i/>
          <w:iCs/>
          <w:color w:val="666666"/>
          <w:sz w:val="18"/>
          <w:szCs w:val="18"/>
        </w:rPr>
        <w:t xml:space="preserve">Drafted to answer: The common gaps and red flags?</w:t>
      </w:r>
    </w:p>
    <w:p>
      <w:pPr>
        <w:spacing w:after="160"/>
      </w:pPr>
      <w:r>
        <w:rPr>
          <w:rFonts w:ascii="Calibri" w:cs="Calibri" w:eastAsia="Calibri" w:hAnsi="Calibri"/>
          <w:sz w:val="22"/>
          <w:szCs w:val="22"/>
        </w:rPr>
        <w:t xml:space="preserve">Shared credentials, anonymous or generic administrator use, unowned service accounts, standing privileged access without a current business need, and access without an identifiable approver are prohibited. All exceptions must record the reason, affected systems and users, compensating controls, accountable owner, approval date and expiry date. Exceptions must be reviewed before expiry and removed when no longer justified.</w:t>
      </w:r>
    </w:p>
    <w:p>
      <w:pPr>
        <w:pStyle w:val="Heading1"/>
        <w:spacing w:before="320"/>
      </w:pPr>
      <w:r>
        <w:rPr>
          <w:rFonts w:ascii="Calibri" w:cs="Calibri" w:eastAsia="Calibri" w:hAnsi="Calibri"/>
          <w:b/>
          <w:bCs/>
          <w:sz w:val="28"/>
          <w:szCs w:val="28"/>
        </w:rPr>
        <w:t xml:space="preserve">Schedule: obligations this policy supports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2340"/>
        <w:gridCol w:w="3900"/>
      </w:tblGrid>
      <w:tr>
        <w:tc>
          <w:tcPr>
            <w:tcW w:type="dxa" w:w="3120"/>
            <w:shd w:fill="F4F5F7" w:val="clear"/>
            <w:tcMar>
              <w:top w:type="dxa" w:w="80"/>
              <w:left w:type="dxa" w:w="120"/>
              <w:bottom w:type="dxa" w:w="80"/>
              <w:right w:type="dxa" w:w="120"/>
            </w:tcMar>
          </w:tcPr>
          <w:p>
            <w:r>
              <w:rPr>
                <w:rFonts w:ascii="Calibri" w:cs="Calibri" w:eastAsia="Calibri" w:hAnsi="Calibri"/>
                <w:b/>
                <w:bCs/>
                <w:sz w:val="20"/>
                <w:szCs w:val="20"/>
              </w:rPr>
              <w:t xml:space="preserve">Obligation</w:t>
            </w:r>
          </w:p>
        </w:tc>
        <w:tc>
          <w:tcPr>
            <w:tcW w:type="dxa" w:w="2340"/>
            <w:shd w:fill="F4F5F7" w:val="clear"/>
            <w:tcMar>
              <w:top w:type="dxa" w:w="80"/>
              <w:left w:type="dxa" w:w="120"/>
              <w:bottom w:type="dxa" w:w="80"/>
              <w:right w:type="dxa" w:w="120"/>
            </w:tcMar>
          </w:tcPr>
          <w:p>
            <w:r>
              <w:rPr>
                <w:rFonts w:ascii="Calibri" w:cs="Calibri" w:eastAsia="Calibri" w:hAnsi="Calibri"/>
                <w:b/>
                <w:bCs/>
                <w:sz w:val="20"/>
                <w:szCs w:val="20"/>
              </w:rPr>
              <w:t xml:space="preserve">Regulator</w:t>
            </w:r>
          </w:p>
        </w:tc>
        <w:tc>
          <w:tcPr>
            <w:tcW w:type="dxa" w:w="3900"/>
            <w:shd w:fill="F4F5F7" w:val="clear"/>
            <w:tcMar>
              <w:top w:type="dxa" w:w="80"/>
              <w:left w:type="dxa" w:w="120"/>
              <w:bottom w:type="dxa" w:w="80"/>
              <w:right w:type="dxa" w:w="120"/>
            </w:tcMar>
          </w:tcPr>
          <w:p>
            <w:r>
              <w:rPr>
                <w:rFonts w:ascii="Calibri" w:cs="Calibri" w:eastAsia="Calibri" w:hAnsi="Calibri"/>
                <w:b/>
                <w:bCs/>
                <w:sz w:val="20"/>
                <w:szCs w:val="20"/>
              </w:rPr>
              <w:t xml:space="preserve">Timeframe</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APP 11 security of personal information</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Office of the Australian Information Commissioner</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Ongoing while the personal information is held.</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APP 11 technical and organisational measures</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Office of the Australian Information Commissioner</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Ongoing and proportionate to the nature, volume, sensitivity, threat environment and potential consequences.</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Essential Eight multi-factor authentication</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Australian Signals Directorate, Australian Cyber Security Centre</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According to the selected target maturity level and the systems, services and data repositories within scope.</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Essential Eight restriction of administrative privileges</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Australian Signals Directorate, Australian Cyber Security Centre</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Validate privileged access when first requested; at Maturity Levels Two and Three, disable it after 45 days of inactivity and after 12 months unless revalidated.</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ISM same-day access removal or suspension</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Australian Signals Directorate, Australian Cyber Security Centre</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The same day the legitimate requirement ends; as soon as practicable when malicious activity is detected.</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ISM access authorisation record</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Australian Signals Directorate, Australian Cyber Security Centre</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Maintain the record for the life of the system or resource and update it when access is reviewed, changed or withdrawn.</w:t>
            </w:r>
          </w:p>
        </w:tc>
      </w:tr>
    </w:tbl>
    <w:p>
      <w:pPr>
        <w:pStyle w:val="Heading1"/>
        <w:spacing w:before="320"/>
      </w:pPr>
      <w:r>
        <w:rPr>
          <w:rFonts w:ascii="Calibri" w:cs="Calibri" w:eastAsia="Calibri" w:hAnsi="Calibri"/>
          <w:b/>
          <w:bCs/>
          <w:sz w:val="28"/>
          <w:szCs w:val="28"/>
        </w:rPr>
        <w:t xml:space="preserve">A note on scope</w:t>
      </w:r>
    </w:p>
    <w:p>
      <w:r>
        <w:rPr>
          <w:rFonts w:ascii="Calibri" w:cs="Calibri" w:eastAsia="Calibri" w:hAnsi="Calibri"/>
          <w:sz w:val="22"/>
          <w:szCs w:val="22"/>
        </w:rPr>
        <w:t xml:space="preserve">This template is a professionally drafted starting point and education, not legal advice and not a guarantee of compliance. Your obligations depend on your industry, your contracts and your data. Have a qualified adviser review the finished policy before you rely on it.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 Control Policy — Australia template</dc:title>
  <dc:creator>SecurityPolicy.com.au</dc:creator>
  <dc:description>What Australian businesses should put in an access control policy, including MFA, passphrases, least privilege, admin access and offboarding.</dc:description>
  <cp:lastModifiedBy>Un-named</cp:lastModifiedBy>
  <cp:revision>1</cp:revision>
  <dcterms:created xsi:type="dcterms:W3CDTF">2026-07-13T14:56:33.793Z</dcterms:created>
  <dcterms:modified xsi:type="dcterms:W3CDTF">2026-07-13T14:56:33.793Z</dcterms:modified>
</cp:coreProperties>
</file>

<file path=docProps/custom.xml><?xml version="1.0" encoding="utf-8"?>
<Properties xmlns="http://schemas.openxmlformats.org/officeDocument/2006/custom-properties" xmlns:vt="http://schemas.openxmlformats.org/officeDocument/2006/docPropsVTypes"/>
</file>