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rPr>
          <w:rFonts w:ascii="Calibri" w:cs="Calibri" w:eastAsia="Calibri" w:hAnsi="Calibri"/>
          <w:b/>
          <w:bCs/>
          <w:sz w:val="52"/>
          <w:szCs w:val="52"/>
        </w:rPr>
        <w:t xml:space="preserve">Acceptable Use Policy</w:t>
      </w:r>
    </w:p>
    <w:p>
      <w:pPr>
        <w:spacing w:after="240"/>
      </w:pPr>
      <w:r>
        <w:rPr>
          <w:rFonts w:ascii="Calibri" w:cs="Calibri" w:eastAsia="Calibri" w:hAnsi="Calibri"/>
          <w:color w:val="666666"/>
          <w:sz w:val="20"/>
          <w:szCs w:val="20"/>
        </w:rPr>
        <w:t xml:space="preserve">Australia edition · editable template · SecurityPolicy.com.au</w:t>
      </w:r>
    </w:p>
    <w:p>
      <w:pPr>
        <w:spacing w:after="240"/>
      </w:pPr>
      <w:r>
        <w:rPr>
          <w:rFonts w:ascii="Calibri" w:cs="Calibri" w:eastAsia="Calibri" w:hAnsi="Calibri"/>
          <w:sz w:val="22"/>
          <w:szCs w:val="22"/>
        </w:rPr>
        <w:t xml:space="preserve">This policy is adopted by </w:t>
      </w:r>
      <w:r>
        <w:rPr>
          <w:rFonts w:ascii="Calibri" w:cs="Calibri" w:eastAsia="Calibri" w:hAnsi="Calibri"/>
          <w:sz w:val="22"/>
          <w:szCs w:val="22"/>
          <w:highlight w:val="yellow"/>
          <w:highlightCs w:val="yellow"/>
        </w:rPr>
        <w:t xml:space="preserve">[organisation name]</w:t>
      </w:r>
      <w:r>
        <w:rPr>
          <w:rFonts w:ascii="Calibri" w:cs="Calibri" w:eastAsia="Calibri" w:hAnsi="Calibri"/>
          <w:sz w:val="22"/>
          <w:szCs w:val="22"/>
        </w:rPr>
        <w:t xml:space="preserve"> ("we", "us", "our").</w:t>
      </w:r>
    </w:p>
    <w:p>
      <w:pPr>
        <w:pStyle w:val="Heading1"/>
      </w:pPr>
      <w:r>
        <w:rPr>
          <w:rFonts w:ascii="Calibri" w:cs="Calibri" w:eastAsia="Calibri" w:hAnsi="Calibri"/>
          <w:b/>
          <w:bCs/>
          <w:sz w:val="28"/>
          <w:szCs w:val="28"/>
        </w:rPr>
        <w:t xml:space="preserve">Document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Policy owner</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[name and role]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Approved by</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[owner, chief executive, board or delegated executive]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Approval date</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Next review</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 normally within 12 months]</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Version</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[1.0]</w:t>
            </w:r>
          </w:p>
        </w:tc>
      </w:tr>
    </w:tbl>
    <w:p>
      <w:pPr>
        <w:pStyle w:val="Heading1"/>
        <w:spacing w:before="320"/>
      </w:pPr>
      <w:r>
        <w:rPr>
          <w:rFonts w:ascii="Calibri" w:cs="Calibri" w:eastAsia="Calibri" w:hAnsi="Calibri"/>
          <w:b/>
          <w:bCs/>
          <w:sz w:val="28"/>
          <w:szCs w:val="28"/>
        </w:rPr>
        <w:t xml:space="preserve">How to complete this template</w:t>
      </w:r>
    </w:p>
    <w:p>
      <w:pPr>
        <w:spacing w:after="240"/>
      </w:pPr>
      <w:r>
        <w:rPr>
          <w:rFonts w:ascii="Calibri" w:cs="Calibri" w:eastAsia="Calibri" w:hAnsi="Calibri"/>
          <w:sz w:val="22"/>
          <w:szCs w:val="22"/>
        </w:rPr>
        <w:t xml:space="preserve">Work top to bottom and fill every yellow field. Delete any clause that does not reflect how your business actually operates — an auditor will ask you to demonstrate each claim. The full plain-English guide for every clause, with sources, lives at securitypolicy.com.au.</w:t>
      </w:r>
    </w:p>
    <w:p>
      <w:pPr>
        <w:pStyle w:val="Heading1"/>
      </w:pPr>
      <w:r>
        <w:rPr>
          <w:rFonts w:ascii="Calibri" w:cs="Calibri" w:eastAsia="Calibri" w:hAnsi="Calibri"/>
          <w:b/>
          <w:bCs/>
          <w:sz w:val="28"/>
          <w:szCs w:val="28"/>
        </w:rPr>
        <w:t xml:space="preserve">Policy</w:t>
      </w:r>
    </w:p>
    <w:p>
      <w:pPr>
        <w:pStyle w:val="Heading2"/>
        <w:spacing w:before="280"/>
      </w:pPr>
      <w:r>
        <w:rPr>
          <w:rFonts w:ascii="Calibri" w:cs="Calibri" w:eastAsia="Calibri" w:hAnsi="Calibri"/>
          <w:b/>
          <w:bCs/>
          <w:sz w:val="24"/>
          <w:szCs w:val="24"/>
        </w:rPr>
        <w:t xml:space="preserve">1. What is an acceptable use policy, and does my business actually need one</w:t>
      </w:r>
    </w:p>
    <w:p>
      <w:pPr>
        <w:spacing w:after="120"/>
      </w:pPr>
      <w:r>
        <w:rPr>
          <w:rFonts w:ascii="Calibri" w:cs="Calibri" w:eastAsia="Calibri" w:hAnsi="Calibri"/>
          <w:i/>
          <w:iCs/>
          <w:color w:val="666666"/>
          <w:sz w:val="18"/>
          <w:szCs w:val="18"/>
        </w:rPr>
        <w:t xml:space="preserve">Drafted to answer: What is an acceptable use policy, and does my business actually need one?</w:t>
      </w:r>
    </w:p>
    <w:p>
      <w:pPr>
        <w:spacing w:after="160"/>
      </w:pPr>
      <w:r>
        <w:rPr>
          <w:rFonts w:ascii="Calibri" w:cs="Calibri" w:eastAsia="Calibri" w:hAnsi="Calibri"/>
          <w:sz w:val="22"/>
          <w:szCs w:val="22"/>
        </w:rPr>
        <w:t xml:space="preserve">This policy applies to every employee, contractor, labour-hire worker, volunteer and other person authorised to use the organisation’s systems, accounts, devices, networks, data or online services. Users must use those resources only for authorised, lawful and reasonable purposes, follow all related security requirements, protect company and third-party information, and promptly report suspected loss, misuse, compromise or unauthorised disclosure.</w:t>
      </w:r>
    </w:p>
    <w:p>
      <w:pPr>
        <w:pStyle w:val="Heading2"/>
        <w:spacing w:before="280"/>
      </w:pPr>
      <w:r>
        <w:rPr>
          <w:rFonts w:ascii="Calibri" w:cs="Calibri" w:eastAsia="Calibri" w:hAnsi="Calibri"/>
          <w:b/>
          <w:bCs/>
          <w:sz w:val="24"/>
          <w:szCs w:val="24"/>
        </w:rPr>
        <w:t xml:space="preserve">2. What must it contain — the non-negotiable sections</w:t>
      </w:r>
    </w:p>
    <w:p>
      <w:pPr>
        <w:spacing w:after="120"/>
      </w:pPr>
      <w:r>
        <w:rPr>
          <w:rFonts w:ascii="Calibri" w:cs="Calibri" w:eastAsia="Calibri" w:hAnsi="Calibri"/>
          <w:i/>
          <w:iCs/>
          <w:color w:val="666666"/>
          <w:sz w:val="18"/>
          <w:szCs w:val="18"/>
        </w:rPr>
        <w:t xml:space="preserve">Drafted to answer: What must it contain — the non-negotiable sections?</w:t>
      </w:r>
    </w:p>
    <w:p>
      <w:pPr>
        <w:spacing w:after="160"/>
      </w:pPr>
      <w:r>
        <w:rPr>
          <w:rFonts w:ascii="Calibri" w:cs="Calibri" w:eastAsia="Calibri" w:hAnsi="Calibri"/>
          <w:sz w:val="22"/>
          <w:szCs w:val="22"/>
        </w:rPr>
        <w:t xml:space="preserve">This policy covers company and approved personal devices, user accounts, passwords and authentication, networks, internet and email, messaging and collaboration tools, software and cloud services, file transfers and removable media, remote access, social media, artificial intelligence tools, monitoring and logging, incident reporting, personal use, after-hours use and policy breaches. Any activity not expressly permitted must be approved in writing by the Policy Owner before it occurs.</w:t>
      </w:r>
    </w:p>
    <w:p>
      <w:pPr>
        <w:pStyle w:val="Heading2"/>
        <w:spacing w:before="280"/>
      </w:pPr>
      <w:r>
        <w:rPr>
          <w:rFonts w:ascii="Calibri" w:cs="Calibri" w:eastAsia="Calibri" w:hAnsi="Calibri"/>
          <w:b/>
          <w:bCs/>
          <w:sz w:val="24"/>
          <w:szCs w:val="24"/>
        </w:rPr>
        <w:t xml:space="preserve">3. What does the law require (surveillance-notice law, Fair Work enforceability)</w:t>
      </w:r>
    </w:p>
    <w:p>
      <w:pPr>
        <w:spacing w:after="120"/>
      </w:pPr>
      <w:r>
        <w:rPr>
          <w:rFonts w:ascii="Calibri" w:cs="Calibri" w:eastAsia="Calibri" w:hAnsi="Calibri"/>
          <w:i/>
          <w:iCs/>
          <w:color w:val="666666"/>
          <w:sz w:val="18"/>
          <w:szCs w:val="18"/>
        </w:rPr>
        <w:t xml:space="preserve">Drafted to answer: What does the law require (surveillance-notice law, Fair Work enforceability)?</w:t>
      </w:r>
    </w:p>
    <w:p>
      <w:pPr>
        <w:spacing w:after="160"/>
      </w:pPr>
      <w:r>
        <w:rPr>
          <w:rFonts w:ascii="Calibri" w:cs="Calibri" w:eastAsia="Calibri" w:hAnsi="Calibri"/>
          <w:sz w:val="22"/>
          <w:szCs w:val="22"/>
        </w:rPr>
        <w:t xml:space="preserve">The organisation may conduct lawful, proportionate monitoring of company systems, accounts, devices, networks and services for security, compliance, operational, investigation and legal purposes. Monitoring will only be conducted in accordance with applicable Commonwealth, state and territory law and any required prior notice or consultation. This policy does not authorise covert, unlimited or otherwise unlawful surveillance. A breach may result in proportionate action, but no outcome is automatic and the organisation will follow applicable employment law and a fair process.</w:t>
      </w:r>
    </w:p>
    <w:p>
      <w:pPr>
        <w:pStyle w:val="Heading2"/>
        <w:spacing w:before="280"/>
      </w:pPr>
      <w:r>
        <w:rPr>
          <w:rFonts w:ascii="Calibri" w:cs="Calibri" w:eastAsia="Calibri" w:hAnsi="Calibri"/>
          <w:b/>
          <w:bCs/>
          <w:sz w:val="24"/>
          <w:szCs w:val="24"/>
        </w:rPr>
        <w:t xml:space="preserve">4. Policy Owner: [role]</w:t>
      </w:r>
    </w:p>
    <w:p>
      <w:pPr>
        <w:spacing w:after="120"/>
      </w:pPr>
      <w:r>
        <w:rPr>
          <w:rFonts w:ascii="Calibri" w:cs="Calibri" w:eastAsia="Calibri" w:hAnsi="Calibri"/>
          <w:i/>
          <w:iCs/>
          <w:color w:val="666666"/>
          <w:sz w:val="18"/>
          <w:szCs w:val="18"/>
        </w:rPr>
        <w:t xml:space="preserve">Drafted to answer: Who owns it, and who has to sign it off?</w:t>
      </w:r>
    </w:p>
    <w:p>
      <w:pPr>
        <w:spacing w:after="160"/>
      </w:pPr>
      <w:r>
        <w:rPr>
          <w:rFonts w:ascii="Calibri" w:cs="Calibri" w:eastAsia="Calibri" w:hAnsi="Calibri"/>
          <w:sz w:val="22"/>
          <w:szCs w:val="22"/>
        </w:rPr>
        <w:t xml:space="preserve">Approver: </w:t>
      </w:r>
      <w:r>
        <w:rPr>
          <w:rFonts w:ascii="Calibri" w:cs="Calibri" w:eastAsia="Calibri" w:hAnsi="Calibri"/>
          <w:sz w:val="22"/>
          <w:szCs w:val="22"/>
          <w:highlight w:val="yellow"/>
          <w:highlightCs w:val="yellow"/>
        </w:rPr>
        <w:t xml:space="preserve">[owner, chief executive, board or delegated executive]</w:t>
      </w:r>
      <w:r>
        <w:rPr>
          <w:rFonts w:ascii="Calibri" w:cs="Calibri" w:eastAsia="Calibri" w:hAnsi="Calibri"/>
          <w:sz w:val="22"/>
          <w:szCs w:val="22"/>
        </w:rPr>
        <w:t xml:space="preserve">. The Policy Owner is responsible for implementation, questions, exceptions, training, monitoring of effectiveness and review. HR must review employment and disciplinary provisions, and suitably qualified privacy or legal advice must be obtained before introducing or materially changing workplace surveillance.</w:t>
      </w:r>
    </w:p>
    <w:p>
      <w:pPr>
        <w:pStyle w:val="Heading2"/>
        <w:spacing w:before="280"/>
      </w:pPr>
      <w:r>
        <w:rPr>
          <w:rFonts w:ascii="Calibri" w:cs="Calibri" w:eastAsia="Calibri" w:hAnsi="Calibri"/>
          <w:b/>
          <w:bCs/>
          <w:sz w:val="24"/>
          <w:szCs w:val="24"/>
        </w:rPr>
        <w:t xml:space="preserve">5. How does it actually get used by the team</w:t>
      </w:r>
    </w:p>
    <w:p>
      <w:pPr>
        <w:spacing w:after="120"/>
      </w:pPr>
      <w:r>
        <w:rPr>
          <w:rFonts w:ascii="Calibri" w:cs="Calibri" w:eastAsia="Calibri" w:hAnsi="Calibri"/>
          <w:i/>
          <w:iCs/>
          <w:color w:val="666666"/>
          <w:sz w:val="18"/>
          <w:szCs w:val="18"/>
        </w:rPr>
        <w:t xml:space="preserve">Drafted to answer: How does it actually get used by the team?</w:t>
      </w:r>
    </w:p>
    <w:p>
      <w:pPr>
        <w:spacing w:after="160"/>
      </w:pPr>
      <w:r>
        <w:rPr>
          <w:rFonts w:ascii="Calibri" w:cs="Calibri" w:eastAsia="Calibri" w:hAnsi="Calibri"/>
          <w:sz w:val="22"/>
          <w:szCs w:val="22"/>
        </w:rPr>
        <w:t xml:space="preserve">Access to company systems and information is conditional on the user receiving this policy, completing required training and acknowledging that they understand and will comply with it. Users must ask the Policy Owner before taking an action they are unsure about and must immediately report suspected mistakes, security events, loss, unauthorised access or disclosure. The organisation will notify affected users of material policy changes and may require renewed acknowledgement or training.</w:t>
      </w:r>
    </w:p>
    <w:p>
      <w:pPr>
        <w:pStyle w:val="Heading2"/>
        <w:spacing w:before="280"/>
      </w:pPr>
      <w:r>
        <w:rPr>
          <w:rFonts w:ascii="Calibri" w:cs="Calibri" w:eastAsia="Calibri" w:hAnsi="Calibri"/>
          <w:b/>
          <w:bCs/>
          <w:sz w:val="24"/>
          <w:szCs w:val="24"/>
        </w:rPr>
        <w:t xml:space="preserve">6. How does it cover AI tools like ChatGPT and Copilot</w:t>
      </w:r>
    </w:p>
    <w:p>
      <w:pPr>
        <w:spacing w:after="120"/>
      </w:pPr>
      <w:r>
        <w:rPr>
          <w:rFonts w:ascii="Calibri" w:cs="Calibri" w:eastAsia="Calibri" w:hAnsi="Calibri"/>
          <w:i/>
          <w:iCs/>
          <w:color w:val="666666"/>
          <w:sz w:val="18"/>
          <w:szCs w:val="18"/>
        </w:rPr>
        <w:t xml:space="preserve">Drafted to answer: How does it cover AI tools like ChatGPT and Copilot?</w:t>
      </w:r>
    </w:p>
    <w:p>
      <w:pPr>
        <w:spacing w:after="160"/>
      </w:pPr>
      <w:r>
        <w:rPr>
          <w:rFonts w:ascii="Calibri" w:cs="Calibri" w:eastAsia="Calibri" w:hAnsi="Calibri"/>
          <w:sz w:val="22"/>
          <w:szCs w:val="22"/>
        </w:rPr>
        <w:t xml:space="preserve">Users may only use artificial intelligence tools, accounts and use cases approved by the organisation. Unless expressly authorised for a protected enterprise service, users must not enter or upload personal information, sensitive information, confidential or client information, credentials, source code, security details, commercially sensitive material or legally privileged content. AI output must be checked by a competent person before it is relied on, sent, published or used to make or support a decision. Any accidental input, upload or disclosure must be reported immediately.</w:t>
      </w:r>
    </w:p>
    <w:p>
      <w:pPr>
        <w:pStyle w:val="Heading2"/>
        <w:spacing w:before="280"/>
      </w:pPr>
      <w:r>
        <w:rPr>
          <w:rFonts w:ascii="Calibri" w:cs="Calibri" w:eastAsia="Calibri" w:hAnsi="Calibri"/>
          <w:b/>
          <w:bCs/>
          <w:sz w:val="24"/>
          <w:szCs w:val="24"/>
        </w:rPr>
        <w:t xml:space="preserve">7. How often must it be reviewed — and what triggers an off-cycle review</w:t>
      </w:r>
    </w:p>
    <w:p>
      <w:pPr>
        <w:spacing w:after="120"/>
      </w:pPr>
      <w:r>
        <w:rPr>
          <w:rFonts w:ascii="Calibri" w:cs="Calibri" w:eastAsia="Calibri" w:hAnsi="Calibri"/>
          <w:i/>
          <w:iCs/>
          <w:color w:val="666666"/>
          <w:sz w:val="18"/>
          <w:szCs w:val="18"/>
        </w:rPr>
        <w:t xml:space="preserve">Drafted to answer: How often must it be reviewed — and what triggers an off-cycle review?</w:t>
      </w:r>
    </w:p>
    <w:p>
      <w:pPr>
        <w:spacing w:after="160"/>
      </w:pPr>
      <w:r>
        <w:rPr>
          <w:rFonts w:ascii="Calibri" w:cs="Calibri" w:eastAsia="Calibri" w:hAnsi="Calibri"/>
          <w:sz w:val="22"/>
          <w:szCs w:val="22"/>
        </w:rPr>
        <w:t xml:space="preserve">The Policy Owner must review this policy at least annually and whenever there is a material change to law, technology, business operations, workforce arrangements, monitoring, artificial intelligence use, information handling or threat conditions. An off-cycle review is also required after a material incident, audit finding, repeated breach or control failure. Every approved version must show its approval date, current-as-at date, owner and next review date, and material changes must be communicated before they take effect.</w:t>
      </w:r>
    </w:p>
    <w:p>
      <w:pPr>
        <w:pStyle w:val="Heading2"/>
        <w:spacing w:before="280"/>
      </w:pPr>
      <w:r>
        <w:rPr>
          <w:rFonts w:ascii="Calibri" w:cs="Calibri" w:eastAsia="Calibri" w:hAnsi="Calibri"/>
          <w:b/>
          <w:bCs/>
          <w:sz w:val="24"/>
          <w:szCs w:val="24"/>
        </w:rPr>
        <w:t xml:space="preserve">8. The common gaps and red flags</w:t>
      </w:r>
    </w:p>
    <w:p>
      <w:pPr>
        <w:spacing w:after="120"/>
      </w:pPr>
      <w:r>
        <w:rPr>
          <w:rFonts w:ascii="Calibri" w:cs="Calibri" w:eastAsia="Calibri" w:hAnsi="Calibri"/>
          <w:i/>
          <w:iCs/>
          <w:color w:val="666666"/>
          <w:sz w:val="18"/>
          <w:szCs w:val="18"/>
        </w:rPr>
        <w:t xml:space="preserve">Drafted to answer: The common gaps and red flags?</w:t>
      </w:r>
    </w:p>
    <w:p>
      <w:pPr>
        <w:spacing w:after="160"/>
      </w:pPr>
      <w:r>
        <w:rPr>
          <w:rFonts w:ascii="Calibri" w:cs="Calibri" w:eastAsia="Calibri" w:hAnsi="Calibri"/>
          <w:sz w:val="22"/>
          <w:szCs w:val="22"/>
        </w:rPr>
        <w:t xml:space="preserve">Nothing in this policy gives the organisation an unlimited right to monitor a person, device, account or communication. Monitoring, access to records and use of evidence must be authorised, necessary for a legitimate purpose, proportionate, restricted to appropriate personnel and conducted under applicable law and notice requirements. Possession of a work device or account does not, by itself, require a user to monitor or respond to contact outside working hours.</w:t>
      </w:r>
    </w:p>
    <w:p>
      <w:pPr>
        <w:pStyle w:val="Heading2"/>
        <w:spacing w:before="280"/>
      </w:pPr>
      <w:r>
        <w:rPr>
          <w:rFonts w:ascii="Calibri" w:cs="Calibri" w:eastAsia="Calibri" w:hAnsi="Calibri"/>
          <w:b/>
          <w:bCs/>
          <w:sz w:val="24"/>
          <w:szCs w:val="24"/>
        </w:rPr>
        <w:t xml:space="preserve">9. What happens when someone breaches it</w:t>
      </w:r>
    </w:p>
    <w:p>
      <w:pPr>
        <w:spacing w:after="120"/>
      </w:pPr>
      <w:r>
        <w:rPr>
          <w:rFonts w:ascii="Calibri" w:cs="Calibri" w:eastAsia="Calibri" w:hAnsi="Calibri"/>
          <w:i/>
          <w:iCs/>
          <w:color w:val="666666"/>
          <w:sz w:val="18"/>
          <w:szCs w:val="18"/>
        </w:rPr>
        <w:t xml:space="preserve">Drafted to answer: What happens when someone breaches it?</w:t>
      </w:r>
    </w:p>
    <w:p>
      <w:pPr>
        <w:spacing w:after="160"/>
      </w:pPr>
      <w:r>
        <w:rPr>
          <w:rFonts w:ascii="Calibri" w:cs="Calibri" w:eastAsia="Calibri" w:hAnsi="Calibri"/>
          <w:sz w:val="22"/>
          <w:szCs w:val="22"/>
        </w:rPr>
        <w:t xml:space="preserve">Suspected breaches will be assessed according to their nature, seriousness, intent, risk, actual or potential harm, the user’s training and prior conduct, consistency with comparable cases and any mitigating circumstances. The organisation may take proportionate action including guidance, retraining, removal of access, a warning, disciplinary action or termination of employment or engagement. No outcome is automatic. The user will be informed of the substance of the allegation and given a reasonable opportunity to respond before a final disciplinary decision, except where immediate protective action is reasonably necessary.</w:t>
      </w:r>
    </w:p>
    <w:p>
      <w:pPr>
        <w:pStyle w:val="Heading1"/>
        <w:spacing w:before="320"/>
      </w:pPr>
      <w:r>
        <w:rPr>
          <w:rFonts w:ascii="Calibri" w:cs="Calibri" w:eastAsia="Calibri" w:hAnsi="Calibri"/>
          <w:b/>
          <w:bCs/>
          <w:sz w:val="28"/>
          <w:szCs w:val="28"/>
        </w:rPr>
        <w:t xml:space="preserve">Schedule: obligations this policy supports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340"/>
        <w:gridCol w:w="3900"/>
      </w:tblGrid>
      <w:tr>
        <w:tc>
          <w:tcPr>
            <w:tcW w:type="dxa" w:w="3120"/>
            <w:shd w:fill="F4F5F7" w:val="clear"/>
            <w:tcMar>
              <w:top w:type="dxa" w:w="80"/>
              <w:left w:type="dxa" w:w="120"/>
              <w:bottom w:type="dxa" w:w="80"/>
              <w:right w:type="dxa" w:w="120"/>
            </w:tcMar>
          </w:tcPr>
          <w:p>
            <w:r>
              <w:rPr>
                <w:rFonts w:ascii="Calibri" w:cs="Calibri" w:eastAsia="Calibri" w:hAnsi="Calibri"/>
                <w:b/>
                <w:bCs/>
                <w:sz w:val="20"/>
                <w:szCs w:val="20"/>
              </w:rPr>
              <w:t xml:space="preserve">Obligation</w:t>
            </w:r>
          </w:p>
        </w:tc>
        <w:tc>
          <w:tcPr>
            <w:tcW w:type="dxa" w:w="2340"/>
            <w:shd w:fill="F4F5F7" w:val="clear"/>
            <w:tcMar>
              <w:top w:type="dxa" w:w="80"/>
              <w:left w:type="dxa" w:w="120"/>
              <w:bottom w:type="dxa" w:w="80"/>
              <w:right w:type="dxa" w:w="120"/>
            </w:tcMar>
          </w:tcPr>
          <w:p>
            <w:r>
              <w:rPr>
                <w:rFonts w:ascii="Calibri" w:cs="Calibri" w:eastAsia="Calibri" w:hAnsi="Calibri"/>
                <w:b/>
                <w:bCs/>
                <w:sz w:val="20"/>
                <w:szCs w:val="20"/>
              </w:rPr>
              <w:t xml:space="preserve">Regulator</w:t>
            </w:r>
          </w:p>
        </w:tc>
        <w:tc>
          <w:tcPr>
            <w:tcW w:type="dxa" w:w="3900"/>
            <w:shd w:fill="F4F5F7" w:val="clear"/>
            <w:tcMar>
              <w:top w:type="dxa" w:w="80"/>
              <w:left w:type="dxa" w:w="120"/>
              <w:bottom w:type="dxa" w:w="80"/>
              <w:right w:type="dxa" w:w="120"/>
            </w:tcMar>
          </w:tcPr>
          <w:p>
            <w:r>
              <w:rPr>
                <w:rFonts w:ascii="Calibri" w:cs="Calibri" w:eastAsia="Calibri" w:hAnsi="Calibri"/>
                <w:b/>
                <w:bCs/>
                <w:sz w:val="20"/>
                <w:szCs w:val="20"/>
              </w:rPr>
              <w:t xml:space="preserve">Timeframe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NSW prior written workplace-surveillance notice</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NSW Government; offences are dealt with summarily by the Local Court</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Generally at least 14 days before surveillance starts; a shorter period may be agreed, and relevant new employees must be notified before starting work.</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NSW computer-surveillance policy</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NSW Government; offences are dealt with summarily by the Local Court</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The surveillance must follow an employer policy notified in advance so the employee can reasonably be assumed to be aware of and understand it.</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ACT notified-surveillance notice and consultation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WorkSafe ACT</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Generally at least 14 days' written notice and good-faith consultation for not less than the notice period; relevant new workers must be notified before starting.</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ACT data-surveillance policy</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WorkSafe ACT</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Before surveillance, the worker must be notified of a policy they can reasonably be assumed to understand; the policy must state computer-use rules, logged information, who may access it and how compliance is monitored.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Fair Work right to disconnect</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Fair Work Ombudsman and Fair Work Commission</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Applied from 26 August 2024 for employees of non-small businesses and from 26 August 2025 for employees of small-business employers.</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Fair process for disciplinary action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Fair Work Ombudsman and Fair Work Commission</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Privacy Act obligations for AI handling of personal information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while selecting, testing, deploying and using the AI system.</w:t>
            </w:r>
          </w:p>
        </w:tc>
      </w:tr>
    </w:tbl>
    <w:p>
      <w:pPr>
        <w:pStyle w:val="Heading1"/>
        <w:spacing w:before="320"/>
      </w:pPr>
      <w:r>
        <w:rPr>
          <w:rFonts w:ascii="Calibri" w:cs="Calibri" w:eastAsia="Calibri" w:hAnsi="Calibri"/>
          <w:b/>
          <w:bCs/>
          <w:sz w:val="28"/>
          <w:szCs w:val="28"/>
        </w:rPr>
        <w:t xml:space="preserve">A note on scope</w:t>
      </w:r>
    </w:p>
    <w:p>
      <w:r>
        <w:rPr>
          <w:rFonts w:ascii="Calibri" w:cs="Calibri" w:eastAsia="Calibri" w:hAnsi="Calibri"/>
          <w:sz w:val="22"/>
          <w:szCs w:val="22"/>
        </w:rPr>
        <w:t xml:space="preserve">This template is a professionally drafted starting point and education, not legal advice and not a guarantee of compliance. Your obligations depend on your industry, your contracts and your data. Have a qualified adviser review the finished policy before you rely on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Acceptable Use Policy — Australia template</dc:title>
  <dc:creator>SecurityPolicy.com.au</dc:creator>
  <dc:description>What Australian businesses should put in an acceptable use policy, including monitoring notices, AI tools, personal use and policy breaches.</dc:description>
  <cp:lastModifiedBy>Un-named</cp:lastModifiedBy>
  <cp:revision>1</cp:revision>
  <dcterms:created xsi:type="dcterms:W3CDTF">2026-07-13T14:56:33.775Z</dcterms:created>
  <dcterms:modified xsi:type="dcterms:W3CDTF">2026-07-13T14:56:33.775Z</dcterms:modified>
</cp:coreProperties>
</file>

<file path=docProps/custom.xml><?xml version="1.0" encoding="utf-8"?>
<Properties xmlns="http://schemas.openxmlformats.org/officeDocument/2006/custom-properties" xmlns:vt="http://schemas.openxmlformats.org/officeDocument/2006/docPropsVTypes"/>
</file>